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50A" w:rsidRPr="00732409" w:rsidRDefault="0028250A" w:rsidP="0028250A">
      <w:pPr>
        <w:spacing w:line="360" w:lineRule="auto"/>
        <w:jc w:val="center"/>
        <w:rPr>
          <w:rFonts w:ascii="Arial Narrow" w:hAnsi="Arial Narrow"/>
          <w:b/>
          <w:sz w:val="32"/>
          <w:szCs w:val="32"/>
          <w:lang w:val="es-ES"/>
        </w:rPr>
      </w:pPr>
      <w:r w:rsidRPr="00732409">
        <w:rPr>
          <w:rFonts w:ascii="Arial Narrow" w:hAnsi="Arial Narrow"/>
          <w:b/>
          <w:sz w:val="32"/>
          <w:szCs w:val="32"/>
          <w:lang w:val="es-ES"/>
        </w:rPr>
        <w:t xml:space="preserve">PROGRAMA </w:t>
      </w:r>
      <w:r>
        <w:rPr>
          <w:rFonts w:ascii="Arial Narrow" w:hAnsi="Arial Narrow"/>
          <w:b/>
          <w:sz w:val="32"/>
          <w:szCs w:val="32"/>
          <w:lang w:val="es-ES"/>
        </w:rPr>
        <w:t>ANUAL DE ADQUISICIONES</w:t>
      </w:r>
    </w:p>
    <w:p w:rsidR="0028250A" w:rsidRPr="00732409" w:rsidRDefault="0028250A" w:rsidP="0028250A">
      <w:pPr>
        <w:spacing w:line="360" w:lineRule="auto"/>
        <w:jc w:val="center"/>
        <w:rPr>
          <w:rFonts w:ascii="Arial Narrow" w:hAnsi="Arial Narrow"/>
          <w:sz w:val="36"/>
          <w:szCs w:val="24"/>
          <w:lang w:val="es-ES"/>
        </w:rPr>
      </w:pPr>
    </w:p>
    <w:p w:rsidR="0028250A" w:rsidRPr="00732409" w:rsidRDefault="0028250A" w:rsidP="0028250A">
      <w:pPr>
        <w:spacing w:line="360" w:lineRule="auto"/>
        <w:jc w:val="right"/>
        <w:rPr>
          <w:rFonts w:ascii="Arial Narrow" w:hAnsi="Arial Narrow"/>
          <w:b/>
          <w:color w:val="244061" w:themeColor="accent1" w:themeShade="80"/>
          <w:sz w:val="28"/>
          <w:szCs w:val="28"/>
          <w:u w:val="single"/>
          <w:lang w:val="es-ES"/>
        </w:rPr>
      </w:pPr>
      <w:r>
        <w:rPr>
          <w:rFonts w:ascii="Arial Narrow" w:hAnsi="Arial Narrow"/>
          <w:b/>
          <w:color w:val="244061" w:themeColor="accent1" w:themeShade="80"/>
          <w:sz w:val="28"/>
          <w:szCs w:val="28"/>
          <w:u w:val="single"/>
          <w:lang w:val="es-ES"/>
        </w:rPr>
        <w:t>Antecedentes</w:t>
      </w:r>
    </w:p>
    <w:p w:rsidR="0028250A" w:rsidRDefault="0028250A" w:rsidP="0028250A">
      <w:pPr>
        <w:spacing w:line="360" w:lineRule="auto"/>
        <w:rPr>
          <w:rFonts w:ascii="Arial Narrow" w:hAnsi="Arial Narrow"/>
          <w:sz w:val="24"/>
          <w:szCs w:val="24"/>
          <w:lang w:val="es-ES"/>
        </w:rPr>
      </w:pPr>
    </w:p>
    <w:p w:rsidR="0028250A" w:rsidRDefault="0028250A" w:rsidP="0028250A">
      <w:pPr>
        <w:spacing w:line="360" w:lineRule="auto"/>
        <w:jc w:val="right"/>
        <w:rPr>
          <w:rFonts w:ascii="Arial Narrow" w:hAnsi="Arial Narrow"/>
          <w:color w:val="0F243E" w:themeColor="text2" w:themeShade="80"/>
          <w:sz w:val="32"/>
          <w:szCs w:val="32"/>
          <w:lang w:val="es-ES"/>
        </w:rPr>
      </w:pPr>
      <w:r>
        <w:rPr>
          <w:rFonts w:ascii="Arial Narrow" w:hAnsi="Arial Narrow"/>
          <w:color w:val="0F243E" w:themeColor="text2" w:themeShade="80"/>
          <w:sz w:val="32"/>
          <w:szCs w:val="32"/>
          <w:lang w:val="es-ES"/>
        </w:rPr>
        <w:t>Del Fondo de Garantía a la Pequeña y Mediana Minería</w:t>
      </w:r>
    </w:p>
    <w:p w:rsidR="0028250A" w:rsidRDefault="0028250A" w:rsidP="0028250A">
      <w:pPr>
        <w:spacing w:line="360" w:lineRule="auto"/>
        <w:jc w:val="right"/>
        <w:rPr>
          <w:rFonts w:ascii="Arial Narrow" w:hAnsi="Arial Narrow"/>
          <w:color w:val="0F243E" w:themeColor="text2" w:themeShade="80"/>
          <w:sz w:val="32"/>
          <w:szCs w:val="32"/>
          <w:lang w:val="es-ES"/>
        </w:rPr>
      </w:pPr>
      <w:proofErr w:type="gramStart"/>
      <w:r>
        <w:rPr>
          <w:rFonts w:ascii="Arial Narrow" w:hAnsi="Arial Narrow"/>
          <w:color w:val="0F243E" w:themeColor="text2" w:themeShade="80"/>
          <w:sz w:val="32"/>
          <w:szCs w:val="32"/>
          <w:lang w:val="es-ES"/>
        </w:rPr>
        <w:t>del</w:t>
      </w:r>
      <w:proofErr w:type="gramEnd"/>
      <w:r>
        <w:rPr>
          <w:rFonts w:ascii="Arial Narrow" w:hAnsi="Arial Narrow"/>
          <w:color w:val="0F243E" w:themeColor="text2" w:themeShade="80"/>
          <w:sz w:val="32"/>
          <w:szCs w:val="32"/>
          <w:lang w:val="es-ES"/>
        </w:rPr>
        <w:t xml:space="preserve"> Estado de Coahuila.</w:t>
      </w:r>
    </w:p>
    <w:p w:rsidR="0028250A" w:rsidRDefault="0028250A" w:rsidP="0028250A">
      <w:pPr>
        <w:spacing w:line="360" w:lineRule="auto"/>
        <w:jc w:val="right"/>
        <w:rPr>
          <w:rFonts w:ascii="Arial Narrow" w:hAnsi="Arial Narrow"/>
          <w:color w:val="0F243E" w:themeColor="text2" w:themeShade="80"/>
          <w:sz w:val="32"/>
          <w:szCs w:val="32"/>
          <w:lang w:val="es-ES"/>
        </w:rPr>
      </w:pPr>
      <w:r>
        <w:rPr>
          <w:rFonts w:ascii="Arial Narrow" w:hAnsi="Arial Narrow"/>
          <w:color w:val="0F243E" w:themeColor="text2" w:themeShade="80"/>
          <w:sz w:val="32"/>
          <w:szCs w:val="32"/>
          <w:lang w:val="es-ES"/>
        </w:rPr>
        <w:t>(</w:t>
      </w:r>
      <w:proofErr w:type="spellStart"/>
      <w:r>
        <w:rPr>
          <w:rFonts w:ascii="Arial Narrow" w:hAnsi="Arial Narrow"/>
          <w:color w:val="0F243E" w:themeColor="text2" w:themeShade="80"/>
          <w:sz w:val="32"/>
          <w:szCs w:val="32"/>
          <w:lang w:val="es-ES"/>
        </w:rPr>
        <w:t>Fogamico</w:t>
      </w:r>
      <w:proofErr w:type="spellEnd"/>
      <w:r>
        <w:rPr>
          <w:rFonts w:ascii="Arial Narrow" w:hAnsi="Arial Narrow"/>
          <w:color w:val="0F243E" w:themeColor="text2" w:themeShade="80"/>
          <w:sz w:val="32"/>
          <w:szCs w:val="32"/>
          <w:lang w:val="es-ES"/>
        </w:rPr>
        <w:t>)</w:t>
      </w:r>
    </w:p>
    <w:p w:rsidR="0028250A" w:rsidRDefault="0028250A" w:rsidP="0028250A">
      <w:pPr>
        <w:pStyle w:val="Prrafodelista"/>
        <w:spacing w:after="0" w:line="360" w:lineRule="auto"/>
        <w:ind w:left="0"/>
        <w:jc w:val="both"/>
        <w:rPr>
          <w:rFonts w:ascii="Arial Narrow" w:hAnsi="Arial Narrow" w:cs="Arial"/>
        </w:rPr>
      </w:pPr>
    </w:p>
    <w:p w:rsidR="0028250A" w:rsidRPr="005316E6" w:rsidRDefault="0028250A" w:rsidP="0028250A">
      <w:pPr>
        <w:pStyle w:val="Prrafodelista"/>
        <w:spacing w:after="0" w:line="360" w:lineRule="auto"/>
        <w:ind w:left="0"/>
        <w:jc w:val="both"/>
        <w:rPr>
          <w:rFonts w:ascii="Arial Narrow" w:hAnsi="Arial Narrow" w:cs="Arial"/>
          <w:sz w:val="24"/>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El Fondo de Garantía al Pequeña y Mediana Minería del Estado de Coahuila </w:t>
      </w:r>
      <w:r w:rsidRPr="00C65192">
        <w:rPr>
          <w:rFonts w:ascii="Arial Narrow" w:hAnsi="Arial Narrow" w:cs="Arial"/>
        </w:rPr>
        <w:t>tiene entre otros fines, fomentar el desarrollo de los pequeños y medianos mineros en la extracción del carbón, en el Estado de Coahuila, en particular de la Región Carbonífera, mediante la operación de un sistema de otorgamiento de garantías a las instituciones de Crédito de Banca Múltiple, así como contribuir mediante la entrega de recursos a la realización de estudios ecológicos con sujeción a lo que al respecto se establezca en las Reglas de Operación de este Fideicomiso.</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Este fondo funciona de manera general en base a la aportación de $ 1.00 (un peso 00/100 m. n.) que realizan los productores por cada tonelada de carbón entregada a CFE, a esto se le suman los intereses generados por los préstamos otorgados y a su vez la comisión que se cobra es del 1% sobre estos préstamos, el TIIE +4.25, los intereses bancarios y en una pequeña medida a otros ingresos como rentas.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Se estima otorgar a razón de cerca de</w:t>
      </w:r>
      <w:r w:rsidRPr="005316E6">
        <w:rPr>
          <w:rFonts w:ascii="Arial Narrow" w:hAnsi="Arial Narrow" w:cs="Arial"/>
        </w:rPr>
        <w:t xml:space="preserve"> </w:t>
      </w:r>
      <w:r>
        <w:rPr>
          <w:rFonts w:ascii="Arial Narrow" w:hAnsi="Arial Narrow" w:cs="Arial"/>
        </w:rPr>
        <w:t>130’ 000, 000.00 (C</w:t>
      </w:r>
      <w:r w:rsidRPr="005316E6">
        <w:rPr>
          <w:rFonts w:ascii="Arial Narrow" w:hAnsi="Arial Narrow" w:cs="Arial"/>
        </w:rPr>
        <w:t>ien</w:t>
      </w:r>
      <w:r>
        <w:rPr>
          <w:rFonts w:ascii="Arial Narrow" w:hAnsi="Arial Narrow" w:cs="Arial"/>
        </w:rPr>
        <w:t xml:space="preserve">to cincuenta </w:t>
      </w:r>
      <w:r w:rsidRPr="005316E6">
        <w:rPr>
          <w:rFonts w:ascii="Arial Narrow" w:hAnsi="Arial Narrow" w:cs="Arial"/>
        </w:rPr>
        <w:t xml:space="preserve">millones de pesos) </w:t>
      </w:r>
      <w:r>
        <w:rPr>
          <w:rFonts w:ascii="Arial Narrow" w:hAnsi="Arial Narrow" w:cs="Arial"/>
        </w:rPr>
        <w:t>a lo largo del año 2018, para esto se realizan los estudios y análisis de factibilidad concernientes a la línea de créditos.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Para esta operación se hace necesario dotar con los instrumentos y equipos que faciliten la operación pronta y expedita de este fondo en apoyo de los productores de carbón.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Se requiere contar con un mejor equipo de cómputo así como también darle el pertinente mantenimiento preventivo y correctivo al que ya se cuenta.</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Por otra parte, para realizar las acciones pertinentes a la revisión y comprobación de garantías presentadas por parte de los productores, se habilitara el mantenimiento preventivo y correctivo de los vehículos propios del Fondo.</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El desglose de esto se verifica en el presupuesto de egresos para 2018 del </w:t>
      </w:r>
      <w:proofErr w:type="spellStart"/>
      <w:r>
        <w:rPr>
          <w:rFonts w:ascii="Arial Narrow" w:hAnsi="Arial Narrow" w:cs="Arial"/>
        </w:rPr>
        <w:t>Fogamico</w:t>
      </w:r>
      <w:proofErr w:type="spellEnd"/>
      <w:r>
        <w:rPr>
          <w:rFonts w:ascii="Arial Narrow" w:hAnsi="Arial Narrow" w:cs="Arial"/>
        </w:rPr>
        <w:t>, así como en el Programa Operativo Anual 2018.</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Es necesaria la adquisición equipo de cómputo reciente, actualizado y con mayor capacidad que con el que se cuenta con el fin de prestar un mejor servicio, dicha inversión representa un egreso de $30, 000.0 (treinta mil pesos 00/100 </w:t>
      </w:r>
      <w:proofErr w:type="spellStart"/>
      <w:r>
        <w:rPr>
          <w:rFonts w:ascii="Arial Narrow" w:hAnsi="Arial Narrow" w:cs="Arial"/>
        </w:rPr>
        <w:t>m.n.</w:t>
      </w:r>
      <w:proofErr w:type="spellEnd"/>
      <w:r>
        <w:rPr>
          <w:rFonts w:ascii="Arial Narrow" w:hAnsi="Arial Narrow" w:cs="Arial"/>
        </w:rPr>
        <w:t>)  Para el ejercicio del año en curso.</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Se proyecta tener una erogación en el tema de aumentar el parque vehicular dentro de la operación bancaria del fondo, con la inversión en un automóvil que podrá costar un monto de $ 500, 000.00 (quinientos mil pesos 00/100 M. N.) a su vez se contempla necesario el mantenimiento de estos vehículos con el fin de brindar más y mejor apoyo, lo que se ha presupuestado en el rubro de refacciones y accesorios menores de quipo de transporte $ 20, 000.00 (Veinte mil pesos 00/100 </w:t>
      </w:r>
      <w:proofErr w:type="spellStart"/>
      <w:r>
        <w:rPr>
          <w:rFonts w:ascii="Arial Narrow" w:hAnsi="Arial Narrow" w:cs="Arial"/>
        </w:rPr>
        <w:t>m.n.</w:t>
      </w:r>
      <w:proofErr w:type="spellEnd"/>
      <w:r>
        <w:rPr>
          <w:rFonts w:ascii="Arial Narrow" w:hAnsi="Arial Narrow" w:cs="Arial"/>
        </w:rPr>
        <w:t>) y en el apartado de Mantenimiento y conservación de vehículos terrestres $ 60, 000.00 (Sesenta mil pesos) dando un total de $ 80, 000.00 (ochenta mil pesos 00/100 M. N.) Anuales.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A su vez se prevé renovar, reparar y en su caso adquirir mobiliario y equipo de oficina para el desarrollo de las actividades del </w:t>
      </w:r>
      <w:proofErr w:type="spellStart"/>
      <w:r>
        <w:rPr>
          <w:rFonts w:ascii="Arial Narrow" w:hAnsi="Arial Narrow" w:cs="Arial"/>
        </w:rPr>
        <w:t>Fogamico</w:t>
      </w:r>
      <w:proofErr w:type="spellEnd"/>
      <w:r>
        <w:rPr>
          <w:rFonts w:ascii="Arial Narrow" w:hAnsi="Arial Narrow" w:cs="Arial"/>
        </w:rPr>
        <w:t xml:space="preserve">, lo que se ha calculado en aproximadamente en el caso de mantenimiento del equipo y conservación de bienes informáticos por $ 25, 000.00 (Veinticinco mil pesos 00/100 </w:t>
      </w:r>
      <w:proofErr w:type="spellStart"/>
      <w:r>
        <w:rPr>
          <w:rFonts w:ascii="Arial Narrow" w:hAnsi="Arial Narrow" w:cs="Arial"/>
        </w:rPr>
        <w:t>m.n.</w:t>
      </w:r>
      <w:proofErr w:type="spellEnd"/>
      <w:r>
        <w:rPr>
          <w:rFonts w:ascii="Arial Narrow" w:hAnsi="Arial Narrow" w:cs="Arial"/>
        </w:rPr>
        <w:t xml:space="preserve">), y en el caso del Mantenimiento y conservación de mobiliario $ 6, 000.00 (seis mil pesos 00/100 </w:t>
      </w:r>
      <w:proofErr w:type="spellStart"/>
      <w:r>
        <w:rPr>
          <w:rFonts w:ascii="Arial Narrow" w:hAnsi="Arial Narrow" w:cs="Arial"/>
        </w:rPr>
        <w:t>m.n.</w:t>
      </w:r>
      <w:proofErr w:type="spellEnd"/>
      <w:r>
        <w:rPr>
          <w:rFonts w:ascii="Arial Narrow" w:hAnsi="Arial Narrow" w:cs="Arial"/>
        </w:rPr>
        <w:t>).</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La operación de las actividades del FOGAMICO, representan una gran ayuda para la realización de los trabajos relacionados con la extracción y comercialización del carbón de esta región, por lo que es de suma importancia poder calcular y presupuestar eficientemente los recursos que serán dedicados exclusivamente en brindar  el apoyo y realizar las labores que se traducen en la mejor y expedita atención de cada uno de los  productores carboneros que hacen uso y beneficio del propósito del FOGAMICO.</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lastRenderedPageBreak/>
        <w:t>De esta manera se desglosa a lo largo del ejercicio 2018, el presupuesto cubriendo cada una de las necesidades básicas primordiales de la operación del FOGAMICO, detallados a continuación: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Para realizar óptimamente todos los servicios que ofrece el FOGAMICO se hace necesaria una plantilla de personal comprendida por: El Vocal Ejecutivo, una persona más como Enlace Institucional y de Promoción, en este orden se suman un Asesor Contable y Financiero y los cuatro jefes de departamento básicos de operación: Departamento de Contabilidad, Departamento de Créditos, Departamento Jurídico y Departamento Administrativo, de igual manera se contempla un auxiliar en el departamento de contabilidad, un auxiliar técnico jurídico, un soporte técnico en informática y un intendente. </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Para cubrir estas necesidades en recursos humanos se ha destinado el concepto de sueldos, se presupuesta a razón anual en el total de los empleados del FOGAMICO, una partida presupuestal anual de $ 2, 821, 722.23 (Dos millones ochocientos veintiún mil setecientos veintidós pesos 23/100 </w:t>
      </w:r>
      <w:proofErr w:type="spellStart"/>
      <w:r>
        <w:rPr>
          <w:rFonts w:ascii="Arial Narrow" w:hAnsi="Arial Narrow" w:cs="Arial"/>
        </w:rPr>
        <w:t>m.n.</w:t>
      </w:r>
      <w:proofErr w:type="spellEnd"/>
      <w:r>
        <w:rPr>
          <w:rFonts w:ascii="Arial Narrow" w:hAnsi="Arial Narrow" w:cs="Arial"/>
        </w:rPr>
        <w:t>).</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Estos empleados, están sujetos a realizar a la par de sus actividades comunes asignadas, cualquier tipo de apoyo y de asesoría o acompañamiento que repercute en el desarrollo de las actividades del FOGAMICO, contando con las prestaciones básicas del Programa de Fomento al Ahorro, del cual se presupuestan para el total de la plantilla anualmente $ 282, 172.27 (Doscientos ochenta y dos mil ciento setenta y dos pesos 27/100 M. N.), a su vez la prestación de Prima Vacacional que representa un aporte anual de $ 86, 219.31 (Ochenta y seis mil doscientos diecinueve pesos 31/100 M. N.), y de un Aguinaldo otorgando por $ 313, 524.75 (Trescientos  trece mil quinientos veinticuatro pesos 75/100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Se ha tenido a bien prevenir una partida dedicada a las indemnizaciones, misma que se calcula para este presupuesto 2018 en $ 242, 000.00 (Doscientos cuarenta y dos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El pago de lo denominado Cuotas IMSS, SAR e INFONAVIT, se ve especificado a razón de $ 558, 960.00 (Quinientos cincuenta mil novecientos sesenta pesos) para el total de la plantilla de personal en el año.</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El rubro de Servicios se ha dividido en ocho diferentes partidas generales: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La primera dedicada al Servicio telefónico que a su vez cuenta con la proveeduría del servicio de internet y de las llamadas locales y nacionales. Básicas en el desarrollo de las actividades diarias del FOGAMICO, contando con un línea, única y exclusivamente para atender y proporcionar el mejor servicio, se presupuesta la cantidad de $ 25, 000.00 anuales (veinticinco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En lo referente a la energía eléctrica se presenta un gasto proyectado anual de $ 40, 000.00 (Cuarenta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Para el óptimo desempeño y prestancia del manejo de la información y para presentar tanto documentación con la mayor facilidad, seguridad y eficacia se hace necesario cubrir esta necesidad dentro de la partida dedicada al Servicio de mensajería representando una erogación de $ 4, 000.00 (Cuatro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Dentro del servicio que se presta relacionado con las garantías y comprobación de su autenticidad se ve en la necesidad de los traslados a los centros de trabajo, donde están depositados y en utilización los bienes que se ofrecen como garantías para ser otorgados los créditos, así como la realización de comisiones de cobro, representación, diligencias propias del desarrollo de la ejecución de las actividades del FOGAMICO, se ha estimado para el gasto anual una partida económica, privilegiando el buen uso y la moderación, en el tema del combustible, por la cantidad de $ 70, 000.00 (Setenta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Para el rubro de la limpieza y aseo de las instalaciones se ha programado un gasto de $ 20, 000.00 (veinte mil pesos 00/100 M. N.) para el desarrollo de las actividades anuales.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El parque vehicular, siguiendo los lineamientos estatales, federales y municipales, genera una erogación en el rubro de Placas y tenencias para el año 2018 de un total anual de $ 150, 000.00 (Ciento cincuenta mil pesos 00/100 M. N.) con lo que se lograra cubrir a los vehículos que son utilizados por el FOGAMICO en el desempeño de sus actividades diarias.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Por la naturaleza del origen del FOGAMICO, se presta especial atención en rendir cuentas claras y trasparentes de las actividades realizadas, lo que con lleva a asistirá las diferentes reuniones operativas del comité técnico del fondo, donde con la presencia de los diferentes representantes de las uniones de productores, de CFE, NAFIN, del gobierno del estado de Coahuila y el propio Vocal del FOGAMICO, que funge como secretario del Comité Técnico, se hacen necesarios desde los traslados, hasta la organización logística y operacional de estas reuniones, a lo que se destina un presupuesto estimado anualizado de $ 10, 000.00 (Diez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Cuidando la imagen que proyecta esta institución en la que se ve reflejado el desarrollo de la administración actual del Estado, se busca mantener tanto el edifico en general como las áreas verdes y de estacionamiento </w:t>
      </w:r>
      <w:r>
        <w:rPr>
          <w:rFonts w:ascii="Arial Narrow" w:hAnsi="Arial Narrow" w:cs="Arial"/>
        </w:rPr>
        <w:lastRenderedPageBreak/>
        <w:t>con una suficiencia y optimización de recursos, de la manera más limpia y eficaz, por lo que se ha presupuestado para aprobación un monto de $ 50, 000.00 (Cincuenta mil pesos 00/100 M. N.) en el rubro de mantenimiento y conservación de inmuebles, así como  de $ 10, 000.00 (Diez mil pesos 00/100 M. N.) en lo que respecta a los servicios de jardinería y fumigación.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En el esfuerzo de cumplir cabalmente con lo estipulado con los reglamentos de vialidad y transporte, se cubrirá el requisito necesario de tener totalmente asegurados los vehículos propios del fondo, y así mismo, poder afianzar los diferentes trabajo o equipos con los que se cuenta, para esto se ha determinado un monto de operación de $ 40 ,000.00 (Cuarenta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El propósito de los fines del FOGAMICO, se ve respaldado por Nacional Financiera, NAFIN, así como también se ve afectado por las comisiones bancarias de las cuales se generarán honorarios anuales, por $ 240, 000.00 (Doscientos cuarenta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A su vez y para cubrir todos los aspectos de transparencia, calidad y de buena operación, el FOGAMICO proyecta por concepto de Servicios de auditoría, una partida presupuestal de $ 175, 000.00 (ciento cincuenta mil pesos 00/100 M. N.). A su vez, Servicios legales por $ 200, 000.00 (Doscientos mil pesos 00/100 M. N.), Servicios de capacitación por $ 20, 000.00 (Veinte mil pesos 00/100 M. N.), Impuestos sobre nóminas por $ 90, 000.00 (Noventa mil pesos 00/100 M. N.), Otras Asesorías como servicios actuariales y  profesionales  con un monto de $ 85, 000.00 (Ochenta y cinco mil pesos 00/100 M. N.) y otros gastos por responsabilidades por $ 12, 000.00 (Doce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Los gastos operativos en convenciones, evaluaciones y reuniones de trabajo determinan una parte importante en el desarrollo de las actividades del FOGAMICO, para lo cual se tiene previsto poder acceder a un presupuesto considerando los viáticos de los servidores públicos de $ 55, 000.00 (Cincuenta mil pesos 00/100 M.  N.), así como el de Congresos y convenciones por $ 10, 000.00 (Diez mil pesos 00/100 M. N.) anuales.</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El servicio de agua, alcantarilla y drenaje, se verá reflejado en el costo anual de lo que se tiene previsto destinar $ 6, 000.00 (seis mil pesos 00/100 M. N.) de manera anual.</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En lo que respecta a los Materiales, útiles y equipos menores de oficina se prevé un gasto anual de $ 110, 000.00 (Ciento diez mil pesos 00/100 M. N.), dentro de este renglón se puede anexar también una partida económica dedicada al Manteniendo y conservación del mobiliario por $ 6, 000.00 (seis mil pesos 00/100 M. N.), y aunado al desarrollo administrativo un coste por Cuotas y suscripciones por $ 10, 000.00 (Diez mil </w:t>
      </w:r>
      <w:r>
        <w:rPr>
          <w:rFonts w:ascii="Arial Narrow" w:hAnsi="Arial Narrow" w:cs="Arial"/>
        </w:rPr>
        <w:lastRenderedPageBreak/>
        <w:t>pesos 00/100 M. N.) y uno más para la adquisición de Equipo de administración por $ 50, 000.00 (cincuenta mil pesos 00/100 M. N.).</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 xml:space="preserve">En general el costo de operación para el FOGAMICO, reflejado en el presupuesto de egresos de 2018, se visualiza netamente como una inversión que redundará en mejoras del servicio, en la trasparencia de sus actividades, en la óptima administración de recursos y en la operatividad, factibilidad y eficacia de sus labores. </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r>
        <w:rPr>
          <w:rFonts w:ascii="Arial Narrow" w:hAnsi="Arial Narrow" w:cs="Arial"/>
        </w:rPr>
        <w:t>Dando la necesidad de cubrir con todos estos aspectos en un total anual de $ 6, 507, 598.56 (Seis millones quinientos siete mil quinientos noventa y ocho pesos 56/100 M. N.), para el ejercicio administrativo del año 2018.</w:t>
      </w: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Pr="00461F48"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461F48">
        <w:rPr>
          <w:rFonts w:ascii="Arial Narrow" w:hAnsi="Arial Narrow"/>
          <w:color w:val="0F243E" w:themeColor="text2" w:themeShade="80"/>
          <w:sz w:val="28"/>
          <w:szCs w:val="28"/>
          <w:lang w:val="es-ES"/>
        </w:rPr>
        <w:t>Para establecer el método Actuación y de consecución de Metas.</w:t>
      </w: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una bitácora diaria de las entradas y salidas de cada uno de los empleados en un libro de firmas diario.</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Son entregados junto a este libro de firmas, un reporte de los créditos otorgados por el </w:t>
      </w:r>
      <w:proofErr w:type="spellStart"/>
      <w:r>
        <w:rPr>
          <w:rFonts w:ascii="Arial Narrow" w:hAnsi="Arial Narrow"/>
          <w:color w:val="0F243E" w:themeColor="text2" w:themeShade="80"/>
          <w:sz w:val="24"/>
          <w:szCs w:val="24"/>
          <w:lang w:val="es-ES"/>
        </w:rPr>
        <w:t>Fogamico</w:t>
      </w:r>
      <w:proofErr w:type="spellEnd"/>
      <w:r>
        <w:rPr>
          <w:rFonts w:ascii="Arial Narrow" w:hAnsi="Arial Narrow"/>
          <w:color w:val="0F243E" w:themeColor="text2" w:themeShade="80"/>
          <w:sz w:val="24"/>
          <w:szCs w:val="24"/>
          <w:lang w:val="es-ES"/>
        </w:rPr>
        <w:t xml:space="preserve"> a los diferentes productores de carbón.</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Así mismo, se coteja y revisan los datos de seguimiento de créditos como también el desglose de las adquisiciones y compras de los diferentes rubros y capítulos del presupuesto aprobado por el H. Comité Técnico del </w:t>
      </w:r>
      <w:proofErr w:type="spellStart"/>
      <w:r>
        <w:rPr>
          <w:rFonts w:ascii="Arial Narrow" w:hAnsi="Arial Narrow"/>
          <w:color w:val="0F243E" w:themeColor="text2" w:themeShade="80"/>
          <w:sz w:val="24"/>
          <w:szCs w:val="24"/>
          <w:lang w:val="es-ES"/>
        </w:rPr>
        <w:t>Fogamico</w:t>
      </w:r>
      <w:proofErr w:type="spellEnd"/>
      <w:r>
        <w:rPr>
          <w:rFonts w:ascii="Arial Narrow" w:hAnsi="Arial Narrow"/>
          <w:color w:val="0F243E" w:themeColor="text2" w:themeShade="80"/>
          <w:sz w:val="24"/>
          <w:szCs w:val="24"/>
          <w:lang w:val="es-ES"/>
        </w:rPr>
        <w:t>.</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Pr="0088143A" w:rsidRDefault="0028250A" w:rsidP="0028250A">
      <w:pPr>
        <w:spacing w:after="0" w:line="360" w:lineRule="auto"/>
        <w:jc w:val="both"/>
        <w:rPr>
          <w:rFonts w:ascii="Arial Narrow" w:hAnsi="Arial Narrow"/>
          <w:color w:val="0F243E" w:themeColor="text2" w:themeShade="80"/>
          <w:sz w:val="24"/>
          <w:szCs w:val="24"/>
          <w:lang w:val="es-ES"/>
        </w:rPr>
      </w:pPr>
    </w:p>
    <w:p w:rsidR="0028250A" w:rsidRPr="008D5FDD" w:rsidRDefault="0028250A" w:rsidP="0028250A">
      <w:pPr>
        <w:pStyle w:val="Prrafodelista"/>
        <w:spacing w:after="0" w:line="360" w:lineRule="auto"/>
        <w:ind w:left="0"/>
        <w:jc w:val="both"/>
        <w:rPr>
          <w:rFonts w:ascii="Arial Narrow" w:hAnsi="Arial Narrow" w:cs="Arial"/>
          <w:lang w:val="es-ES"/>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Default="0028250A" w:rsidP="0028250A">
      <w:pPr>
        <w:pStyle w:val="Prrafodelista"/>
        <w:spacing w:after="0" w:line="360" w:lineRule="auto"/>
        <w:ind w:left="0"/>
        <w:jc w:val="both"/>
        <w:rPr>
          <w:rFonts w:ascii="Arial Narrow" w:hAnsi="Arial Narrow" w:cs="Arial"/>
        </w:rPr>
      </w:pPr>
    </w:p>
    <w:p w:rsidR="0028250A" w:rsidRPr="00EE7059" w:rsidRDefault="0028250A" w:rsidP="0028250A">
      <w:pPr>
        <w:spacing w:line="360" w:lineRule="auto"/>
        <w:jc w:val="right"/>
        <w:rPr>
          <w:rFonts w:ascii="Arial Narrow" w:hAnsi="Arial Narrow"/>
          <w:color w:val="0F243E" w:themeColor="text2" w:themeShade="80"/>
          <w:sz w:val="32"/>
          <w:szCs w:val="32"/>
        </w:rPr>
      </w:pPr>
      <w:r w:rsidRPr="00EE7059">
        <w:rPr>
          <w:rFonts w:ascii="Arial Narrow" w:hAnsi="Arial Narrow"/>
          <w:color w:val="0F243E" w:themeColor="text2" w:themeShade="80"/>
          <w:sz w:val="32"/>
          <w:szCs w:val="32"/>
          <w:lang w:val="es-ES"/>
        </w:rPr>
        <w:t xml:space="preserve">Del Programa de </w:t>
      </w:r>
      <w:r w:rsidRPr="00EE7059">
        <w:rPr>
          <w:rFonts w:ascii="Arial Narrow" w:hAnsi="Arial Narrow"/>
          <w:color w:val="0F243E" w:themeColor="text2" w:themeShade="80"/>
          <w:sz w:val="32"/>
          <w:szCs w:val="32"/>
        </w:rPr>
        <w:t>Programa de Seguridad en la Explotación y Comercialización del Carbón producido en la Región Carbonífera del Estado de Coahuila.</w:t>
      </w:r>
    </w:p>
    <w:p w:rsidR="0028250A" w:rsidRPr="00EE7059" w:rsidRDefault="0028250A" w:rsidP="0028250A">
      <w:pPr>
        <w:spacing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Derivado</w:t>
      </w:r>
      <w:r w:rsidRPr="00EE7059">
        <w:rPr>
          <w:rFonts w:ascii="Arial Narrow" w:hAnsi="Arial Narrow"/>
          <w:color w:val="262626" w:themeColor="text1" w:themeTint="D9"/>
          <w:sz w:val="24"/>
          <w:szCs w:val="24"/>
        </w:rPr>
        <w:t xml:space="preserve"> de los contratos de suministro de carbón de la PRODEMI con las plantas López Portillo y Carbón II de CFE surge un convenio entre PRODEMI, CFE y FOGAMICO que da origen al Programa de Seguridad en la Explotación del Carbón Producido en la Región Carbonífera de Coahuila. </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El Programa opera de la siguiente manera:</w:t>
      </w:r>
    </w:p>
    <w:p w:rsidR="0028250A" w:rsidRPr="00EE7059" w:rsidRDefault="0028250A" w:rsidP="0028250A">
      <w:pPr>
        <w:spacing w:line="360" w:lineRule="auto"/>
        <w:jc w:val="both"/>
        <w:rPr>
          <w:rFonts w:ascii="Arial Narrow" w:hAnsi="Arial Narrow"/>
          <w:color w:val="262626" w:themeColor="text1" w:themeTint="D9"/>
          <w:sz w:val="24"/>
          <w:szCs w:val="24"/>
        </w:rPr>
      </w:pPr>
    </w:p>
    <w:p w:rsidR="0028250A" w:rsidRPr="00E1365F" w:rsidRDefault="0028250A" w:rsidP="0028250A">
      <w:pPr>
        <w:numPr>
          <w:ilvl w:val="0"/>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CFE retiene $ 3.00 por tonelada de carbón suministrada por la PRODEMI.</w:t>
      </w:r>
    </w:p>
    <w:p w:rsidR="0028250A" w:rsidRPr="00EE7059" w:rsidRDefault="0028250A" w:rsidP="0028250A">
      <w:pPr>
        <w:spacing w:line="360" w:lineRule="auto"/>
        <w:ind w:left="720"/>
        <w:jc w:val="both"/>
        <w:rPr>
          <w:rFonts w:ascii="Arial Narrow" w:hAnsi="Arial Narrow"/>
          <w:color w:val="262626" w:themeColor="text1" w:themeTint="D9"/>
          <w:sz w:val="24"/>
          <w:szCs w:val="24"/>
        </w:rPr>
      </w:pPr>
    </w:p>
    <w:p w:rsidR="0028250A" w:rsidRPr="00E1365F" w:rsidRDefault="0028250A" w:rsidP="0028250A">
      <w:pPr>
        <w:numPr>
          <w:ilvl w:val="0"/>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 xml:space="preserve">La Comisión Federal de Electricidad, por conducto de las Centrales Carbón II y José López Portillo deposita ese recurso en la cuenta de FOGAMICO. </w:t>
      </w:r>
    </w:p>
    <w:p w:rsidR="0028250A" w:rsidRPr="00EE7059" w:rsidRDefault="0028250A" w:rsidP="0028250A">
      <w:pPr>
        <w:spacing w:line="360" w:lineRule="auto"/>
        <w:ind w:left="720"/>
        <w:jc w:val="both"/>
        <w:rPr>
          <w:rFonts w:ascii="Arial Narrow" w:hAnsi="Arial Narrow"/>
          <w:color w:val="262626" w:themeColor="text1" w:themeTint="D9"/>
          <w:sz w:val="24"/>
          <w:szCs w:val="24"/>
        </w:rPr>
      </w:pPr>
    </w:p>
    <w:p w:rsidR="0028250A" w:rsidRPr="00E1365F" w:rsidRDefault="0028250A" w:rsidP="0028250A">
      <w:pPr>
        <w:numPr>
          <w:ilvl w:val="0"/>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lastRenderedPageBreak/>
        <w:t>FOGAMICO administra los recursos conforme a los acuerdos que emanan de las reuniones mensuales del Subcomité de Seguridad que está integrado por un representante de cada una de las siguientes instituciones:</w:t>
      </w:r>
    </w:p>
    <w:p w:rsidR="0028250A" w:rsidRDefault="0028250A" w:rsidP="0028250A">
      <w:pPr>
        <w:spacing w:line="360" w:lineRule="auto"/>
        <w:ind w:left="720"/>
        <w:jc w:val="both"/>
        <w:rPr>
          <w:rFonts w:ascii="Arial Narrow" w:hAnsi="Arial Narrow"/>
          <w:color w:val="262626" w:themeColor="text1" w:themeTint="D9"/>
          <w:sz w:val="24"/>
          <w:szCs w:val="24"/>
        </w:rPr>
      </w:pPr>
    </w:p>
    <w:p w:rsidR="0028250A" w:rsidRPr="00EE7059" w:rsidRDefault="0028250A" w:rsidP="0028250A">
      <w:pPr>
        <w:numPr>
          <w:ilvl w:val="1"/>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Comisión Federal de Electricidad.</w:t>
      </w:r>
    </w:p>
    <w:p w:rsidR="0028250A" w:rsidRPr="00EE7059" w:rsidRDefault="0028250A" w:rsidP="0028250A">
      <w:pPr>
        <w:numPr>
          <w:ilvl w:val="1"/>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Promotora para el Desarrollo Minero de Coahuila.</w:t>
      </w:r>
    </w:p>
    <w:p w:rsidR="0028250A" w:rsidRPr="00EE7059" w:rsidRDefault="0028250A" w:rsidP="0028250A">
      <w:pPr>
        <w:numPr>
          <w:ilvl w:val="1"/>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Administración Central de Minería.</w:t>
      </w:r>
    </w:p>
    <w:p w:rsidR="0028250A" w:rsidRPr="00EE7059" w:rsidRDefault="0028250A" w:rsidP="0028250A">
      <w:pPr>
        <w:numPr>
          <w:ilvl w:val="1"/>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Unión Nacional de Productores de Carbón A.C.</w:t>
      </w:r>
    </w:p>
    <w:p w:rsidR="0028250A" w:rsidRPr="00EE7059" w:rsidRDefault="0028250A" w:rsidP="0028250A">
      <w:pPr>
        <w:numPr>
          <w:ilvl w:val="1"/>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Unión Mexicana de Productores de Carbón A.C.</w:t>
      </w:r>
    </w:p>
    <w:p w:rsidR="0028250A" w:rsidRPr="00EE7059" w:rsidRDefault="0028250A" w:rsidP="0028250A">
      <w:pPr>
        <w:numPr>
          <w:ilvl w:val="1"/>
          <w:numId w:val="1"/>
        </w:numPr>
        <w:spacing w:after="160"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 xml:space="preserve">Fondo de Garantía a la Pequeña y Mediana Minería del Estado de Coahuila (FOGAMICO). </w:t>
      </w:r>
    </w:p>
    <w:p w:rsidR="0028250A" w:rsidRPr="00EE7059" w:rsidRDefault="0028250A" w:rsidP="0028250A">
      <w:pPr>
        <w:spacing w:line="360" w:lineRule="auto"/>
        <w:jc w:val="both"/>
        <w:rPr>
          <w:rFonts w:ascii="Arial Narrow" w:hAnsi="Arial Narrow"/>
          <w:color w:val="262626" w:themeColor="text1" w:themeTint="D9"/>
          <w:sz w:val="24"/>
          <w:szCs w:val="24"/>
        </w:rPr>
      </w:pPr>
    </w:p>
    <w:p w:rsidR="0028250A" w:rsidRPr="00EE7059" w:rsidRDefault="0028250A" w:rsidP="0028250A">
      <w:pPr>
        <w:spacing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 xml:space="preserve">El Programa opera de manera coordinada en las instalaciones del Centro de Seguridad y Capacitación Minera, ubicadas en la ciudad de Nueva Rosita, Coahuila, cuenta con un aula móvil emplazada en la población de Minas </w:t>
      </w:r>
      <w:proofErr w:type="spellStart"/>
      <w:r w:rsidRPr="00EE7059">
        <w:rPr>
          <w:rFonts w:ascii="Arial Narrow" w:hAnsi="Arial Narrow"/>
          <w:color w:val="262626" w:themeColor="text1" w:themeTint="D9"/>
          <w:sz w:val="24"/>
          <w:szCs w:val="24"/>
        </w:rPr>
        <w:t>Barroterán</w:t>
      </w:r>
      <w:proofErr w:type="spellEnd"/>
      <w:r w:rsidRPr="00EE7059">
        <w:rPr>
          <w:rFonts w:ascii="Arial Narrow" w:hAnsi="Arial Narrow"/>
          <w:color w:val="262626" w:themeColor="text1" w:themeTint="D9"/>
          <w:sz w:val="24"/>
          <w:szCs w:val="24"/>
        </w:rPr>
        <w:t xml:space="preserve"> y en algunos casos actúa en los propios centros de trabajo.</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El Programa de Seguridad en la Explotación y Comercialización del Carbón Producido en la Región Carbonífera de Coahuila.</w:t>
      </w:r>
    </w:p>
    <w:p w:rsidR="0028250A" w:rsidRPr="00EE7059" w:rsidRDefault="0028250A" w:rsidP="0028250A">
      <w:pPr>
        <w:spacing w:line="360" w:lineRule="auto"/>
        <w:jc w:val="both"/>
        <w:rPr>
          <w:rFonts w:ascii="Arial Narrow" w:hAnsi="Arial Narrow"/>
          <w:color w:val="262626" w:themeColor="text1" w:themeTint="D9"/>
          <w:sz w:val="24"/>
          <w:szCs w:val="24"/>
        </w:rPr>
      </w:pPr>
    </w:p>
    <w:p w:rsidR="0028250A" w:rsidRPr="00EE7059" w:rsidRDefault="0028250A" w:rsidP="0028250A">
      <w:pPr>
        <w:spacing w:line="360" w:lineRule="auto"/>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Está integrado por tres áreas:</w:t>
      </w:r>
    </w:p>
    <w:p w:rsidR="0028250A" w:rsidRDefault="0028250A" w:rsidP="0028250A">
      <w:pPr>
        <w:spacing w:line="360" w:lineRule="auto"/>
        <w:jc w:val="center"/>
        <w:rPr>
          <w:rFonts w:ascii="Arial Narrow" w:hAnsi="Arial Narrow"/>
          <w:color w:val="262626" w:themeColor="text1" w:themeTint="D9"/>
          <w:sz w:val="24"/>
          <w:szCs w:val="24"/>
        </w:rPr>
      </w:pPr>
    </w:p>
    <w:p w:rsidR="0028250A" w:rsidRPr="00EE7059" w:rsidRDefault="0028250A" w:rsidP="0028250A">
      <w:pPr>
        <w:spacing w:line="360" w:lineRule="auto"/>
        <w:jc w:val="center"/>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Capacitación</w:t>
      </w:r>
    </w:p>
    <w:p w:rsidR="0028250A" w:rsidRPr="00EE7059" w:rsidRDefault="0028250A" w:rsidP="0028250A">
      <w:pPr>
        <w:spacing w:line="360" w:lineRule="auto"/>
        <w:jc w:val="center"/>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t>Servicio Médico y</w:t>
      </w:r>
    </w:p>
    <w:p w:rsidR="0028250A" w:rsidRPr="00EE7059" w:rsidRDefault="0028250A" w:rsidP="0028250A">
      <w:pPr>
        <w:spacing w:line="360" w:lineRule="auto"/>
        <w:jc w:val="center"/>
        <w:rPr>
          <w:rFonts w:ascii="Arial Narrow" w:hAnsi="Arial Narrow"/>
          <w:color w:val="262626" w:themeColor="text1" w:themeTint="D9"/>
          <w:sz w:val="24"/>
          <w:szCs w:val="24"/>
        </w:rPr>
      </w:pPr>
      <w:r w:rsidRPr="00EE7059">
        <w:rPr>
          <w:rFonts w:ascii="Arial Narrow" w:hAnsi="Arial Narrow"/>
          <w:color w:val="262626" w:themeColor="text1" w:themeTint="D9"/>
          <w:sz w:val="24"/>
          <w:szCs w:val="24"/>
        </w:rPr>
        <w:lastRenderedPageBreak/>
        <w:t>Cuadrillas de Rescate</w:t>
      </w:r>
    </w:p>
    <w:p w:rsidR="0028250A" w:rsidRDefault="0028250A" w:rsidP="0028250A">
      <w:pPr>
        <w:tabs>
          <w:tab w:val="num" w:pos="3600"/>
        </w:tabs>
        <w:spacing w:after="0" w:line="360" w:lineRule="auto"/>
        <w:ind w:left="284" w:hanging="284"/>
        <w:jc w:val="both"/>
        <w:rPr>
          <w:rFonts w:ascii="Arial Narrow" w:hAnsi="Arial Narrow"/>
          <w:color w:val="262626" w:themeColor="text1" w:themeTint="D9"/>
          <w:sz w:val="24"/>
          <w:szCs w:val="24"/>
          <w:lang w:val="es-ES"/>
        </w:rPr>
      </w:pPr>
    </w:p>
    <w:p w:rsidR="0028250A" w:rsidRDefault="0028250A" w:rsidP="0028250A">
      <w:pPr>
        <w:tabs>
          <w:tab w:val="num" w:pos="3600"/>
        </w:tabs>
        <w:spacing w:after="0" w:line="360" w:lineRule="auto"/>
        <w:ind w:left="284" w:hanging="284"/>
        <w:jc w:val="both"/>
        <w:rPr>
          <w:rFonts w:ascii="Arial Narrow" w:hAnsi="Arial Narrow"/>
          <w:color w:val="262626" w:themeColor="text1" w:themeTint="D9"/>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A). En el Área de Capacitación en Seguridad.</w:t>
      </w:r>
    </w:p>
    <w:p w:rsidR="0028250A" w:rsidRDefault="0028250A" w:rsidP="0028250A">
      <w:pPr>
        <w:spacing w:after="0" w:line="360" w:lineRule="auto"/>
        <w:ind w:left="284" w:hanging="284"/>
        <w:jc w:val="both"/>
        <w:rPr>
          <w:rFonts w:ascii="Arial Narrow" w:hAnsi="Arial Narrow"/>
          <w:color w:val="262626" w:themeColor="text1" w:themeTint="D9"/>
          <w:sz w:val="24"/>
          <w:szCs w:val="24"/>
          <w:lang w:val="es-ES"/>
        </w:rPr>
      </w:pPr>
    </w:p>
    <w:p w:rsidR="0028250A" w:rsidRDefault="0028250A" w:rsidP="0028250A">
      <w:pPr>
        <w:pStyle w:val="NormalWeb"/>
        <w:spacing w:before="0" w:beforeAutospacing="0" w:after="0" w:afterAutospacing="0" w:line="360" w:lineRule="auto"/>
        <w:jc w:val="both"/>
        <w:rPr>
          <w:rFonts w:ascii="Arial Narrow" w:hAnsi="Arial Narrow" w:cstheme="minorBidi"/>
          <w:color w:val="000000" w:themeColor="text1"/>
          <w:kern w:val="24"/>
        </w:rPr>
      </w:pPr>
      <w:r w:rsidRPr="00E20399">
        <w:rPr>
          <w:rFonts w:ascii="Arial Narrow" w:hAnsi="Arial Narrow" w:cstheme="minorBidi"/>
          <w:color w:val="000000" w:themeColor="text1"/>
          <w:kern w:val="24"/>
        </w:rPr>
        <w:t>La</w:t>
      </w:r>
      <w:r>
        <w:rPr>
          <w:rFonts w:ascii="Arial Narrow" w:hAnsi="Arial Narrow" w:cstheme="minorBidi"/>
          <w:color w:val="000000" w:themeColor="text1"/>
          <w:kern w:val="24"/>
        </w:rPr>
        <w:t xml:space="preserve"> P</w:t>
      </w:r>
      <w:r w:rsidRPr="00E20399">
        <w:rPr>
          <w:rFonts w:ascii="Arial Narrow" w:hAnsi="Arial Narrow" w:cstheme="minorBidi"/>
          <w:color w:val="000000" w:themeColor="text1"/>
          <w:kern w:val="24"/>
        </w:rPr>
        <w:t>romotora para el desarrollo Minero de Coahuila</w:t>
      </w:r>
      <w:r>
        <w:rPr>
          <w:rFonts w:ascii="Arial Narrow" w:hAnsi="Arial Narrow" w:cstheme="minorBidi"/>
          <w:color w:val="000000" w:themeColor="text1"/>
          <w:kern w:val="24"/>
        </w:rPr>
        <w:t xml:space="preserve"> c</w:t>
      </w:r>
      <w:r w:rsidRPr="00E20399">
        <w:rPr>
          <w:rFonts w:ascii="Arial Narrow" w:hAnsi="Arial Narrow" w:cstheme="minorBidi"/>
          <w:color w:val="000000" w:themeColor="text1"/>
          <w:kern w:val="24"/>
        </w:rPr>
        <w:t xml:space="preserve">uenta desde 2012 con la constancia de la </w:t>
      </w:r>
      <w:r w:rsidRPr="00EE7059">
        <w:rPr>
          <w:rFonts w:ascii="Arial Narrow" w:hAnsi="Arial Narrow"/>
          <w:color w:val="262626" w:themeColor="text1" w:themeTint="D9"/>
          <w:lang w:val="es-ES"/>
        </w:rPr>
        <w:t xml:space="preserve">Secretaría de Trabajo y Previsión Social (STPS) </w:t>
      </w:r>
      <w:r w:rsidRPr="00E20399">
        <w:rPr>
          <w:rFonts w:ascii="Arial Narrow" w:hAnsi="Arial Narrow" w:cstheme="minorBidi"/>
          <w:color w:val="000000" w:themeColor="text1"/>
          <w:kern w:val="24"/>
        </w:rPr>
        <w:t>como Agente Capacitador Externo.</w:t>
      </w:r>
      <w:r>
        <w:rPr>
          <w:rFonts w:ascii="Arial Narrow" w:hAnsi="Arial Narrow" w:cstheme="minorBidi"/>
          <w:color w:val="000000" w:themeColor="text1"/>
          <w:kern w:val="24"/>
        </w:rPr>
        <w:t xml:space="preserve"> Con el número de registro PDM 030328BDA – 0013.</w:t>
      </w:r>
    </w:p>
    <w:p w:rsidR="0028250A" w:rsidRPr="00631DF1" w:rsidRDefault="0028250A" w:rsidP="0028250A">
      <w:pPr>
        <w:pStyle w:val="NormalWeb"/>
        <w:spacing w:before="0" w:beforeAutospacing="0" w:after="0" w:afterAutospacing="0" w:line="360" w:lineRule="auto"/>
        <w:jc w:val="both"/>
        <w:rPr>
          <w:rFonts w:ascii="Arial Narrow" w:hAnsi="Arial Narrow" w:cstheme="minorBidi"/>
          <w:color w:val="000000" w:themeColor="text1"/>
          <w:kern w:val="24"/>
        </w:rPr>
      </w:pPr>
    </w:p>
    <w:p w:rsidR="0028250A" w:rsidRPr="00EE7059" w:rsidRDefault="0028250A" w:rsidP="0028250A">
      <w:pPr>
        <w:tabs>
          <w:tab w:val="num" w:pos="3600"/>
        </w:tabs>
        <w:spacing w:after="0"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S</w:t>
      </w:r>
      <w:r w:rsidRPr="00EE7059">
        <w:rPr>
          <w:rFonts w:ascii="Arial Narrow" w:hAnsi="Arial Narrow"/>
          <w:color w:val="262626" w:themeColor="text1" w:themeTint="D9"/>
          <w:sz w:val="24"/>
          <w:szCs w:val="24"/>
          <w:lang w:val="es-ES"/>
        </w:rPr>
        <w:t xml:space="preserve">e han registrado ante la </w:t>
      </w:r>
      <w:r w:rsidRPr="00E20399">
        <w:rPr>
          <w:rFonts w:ascii="Arial Narrow" w:hAnsi="Arial Narrow"/>
          <w:color w:val="000000" w:themeColor="text1"/>
          <w:kern w:val="24"/>
        </w:rPr>
        <w:t>STPS</w:t>
      </w:r>
      <w:r w:rsidRPr="00EE7059">
        <w:rPr>
          <w:rFonts w:ascii="Arial Narrow" w:hAnsi="Arial Narrow"/>
          <w:color w:val="262626" w:themeColor="text1" w:themeTint="D9"/>
          <w:sz w:val="24"/>
          <w:szCs w:val="24"/>
          <w:lang w:val="es-ES"/>
        </w:rPr>
        <w:t xml:space="preserve"> 44 cursos dirigidos a la base trabajadora, los mandos medios y los directivos, de las empresas mineras, de conformidad con lo establecido en las NOM-032 y NOM-023 de la STPS.</w:t>
      </w:r>
    </w:p>
    <w:p w:rsidR="0028250A"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p>
    <w:p w:rsidR="0028250A"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Así s</w:t>
      </w:r>
      <w:r w:rsidRPr="00EE7059">
        <w:rPr>
          <w:rFonts w:ascii="Arial Narrow" w:hAnsi="Arial Narrow"/>
          <w:color w:val="262626" w:themeColor="text1" w:themeTint="D9"/>
          <w:sz w:val="24"/>
          <w:szCs w:val="24"/>
          <w:lang w:val="es-ES"/>
        </w:rPr>
        <w:t xml:space="preserve">e </w:t>
      </w:r>
      <w:r>
        <w:rPr>
          <w:rFonts w:ascii="Arial Narrow" w:hAnsi="Arial Narrow"/>
          <w:color w:val="262626" w:themeColor="text1" w:themeTint="D9"/>
          <w:sz w:val="24"/>
          <w:szCs w:val="24"/>
          <w:lang w:val="es-ES"/>
        </w:rPr>
        <w:t>c</w:t>
      </w:r>
      <w:r w:rsidRPr="00EE7059">
        <w:rPr>
          <w:rFonts w:ascii="Arial Narrow" w:hAnsi="Arial Narrow"/>
          <w:color w:val="262626" w:themeColor="text1" w:themeTint="D9"/>
          <w:sz w:val="24"/>
          <w:szCs w:val="24"/>
          <w:lang w:val="es-ES"/>
        </w:rPr>
        <w:t xml:space="preserve">apacita en </w:t>
      </w:r>
      <w:r>
        <w:rPr>
          <w:rFonts w:ascii="Arial Narrow" w:hAnsi="Arial Narrow"/>
          <w:color w:val="262626" w:themeColor="text1" w:themeTint="D9"/>
          <w:sz w:val="24"/>
          <w:szCs w:val="24"/>
          <w:lang w:val="es-ES"/>
        </w:rPr>
        <w:t>21</w:t>
      </w:r>
      <w:r w:rsidRPr="00EE7059">
        <w:rPr>
          <w:rFonts w:ascii="Arial Narrow" w:hAnsi="Arial Narrow"/>
          <w:color w:val="262626" w:themeColor="text1" w:themeTint="D9"/>
          <w:sz w:val="24"/>
          <w:szCs w:val="24"/>
          <w:lang w:val="es-ES"/>
        </w:rPr>
        <w:t xml:space="preserve"> temas de seguridad durante dos días a </w:t>
      </w:r>
      <w:r>
        <w:rPr>
          <w:rFonts w:ascii="Arial Narrow" w:hAnsi="Arial Narrow"/>
          <w:color w:val="262626" w:themeColor="text1" w:themeTint="D9"/>
          <w:sz w:val="24"/>
          <w:szCs w:val="24"/>
          <w:lang w:val="es-ES"/>
        </w:rPr>
        <w:t>las</w:t>
      </w:r>
      <w:r w:rsidRPr="00EE7059">
        <w:rPr>
          <w:rFonts w:ascii="Arial Narrow" w:hAnsi="Arial Narrow"/>
          <w:color w:val="262626" w:themeColor="text1" w:themeTint="D9"/>
          <w:sz w:val="24"/>
          <w:szCs w:val="24"/>
          <w:lang w:val="es-ES"/>
        </w:rPr>
        <w:t xml:space="preserve"> personas </w:t>
      </w:r>
      <w:r>
        <w:rPr>
          <w:rFonts w:ascii="Arial Narrow" w:hAnsi="Arial Narrow"/>
          <w:color w:val="262626" w:themeColor="text1" w:themeTint="D9"/>
          <w:sz w:val="24"/>
          <w:szCs w:val="24"/>
          <w:lang w:val="es-ES"/>
        </w:rPr>
        <w:t>que conforman la</w:t>
      </w:r>
      <w:r w:rsidRPr="00EE7059">
        <w:rPr>
          <w:rFonts w:ascii="Arial Narrow" w:hAnsi="Arial Narrow"/>
          <w:color w:val="262626" w:themeColor="text1" w:themeTint="D9"/>
          <w:sz w:val="24"/>
          <w:szCs w:val="24"/>
          <w:lang w:val="es-ES"/>
        </w:rPr>
        <w:t xml:space="preserve"> base trabajadora, a cada trabajador se le entrega constancia de habilidades por cada curso tomado</w:t>
      </w:r>
      <w:r w:rsidRPr="00EE7059">
        <w:rPr>
          <w:rFonts w:ascii="Arial Narrow" w:hAnsi="Arial Narrow"/>
          <w:color w:val="262626" w:themeColor="text1" w:themeTint="D9"/>
          <w:sz w:val="24"/>
          <w:szCs w:val="24"/>
        </w:rPr>
        <w:t xml:space="preserve"> y credencial que acredita la instrucción recibida.</w:t>
      </w:r>
      <w:r w:rsidRPr="00EE7059">
        <w:rPr>
          <w:rFonts w:ascii="Arial Narrow" w:hAnsi="Arial Narrow"/>
          <w:color w:val="262626" w:themeColor="text1" w:themeTint="D9"/>
          <w:sz w:val="24"/>
          <w:szCs w:val="24"/>
          <w:lang w:val="es-ES"/>
        </w:rPr>
        <w:t xml:space="preserve"> </w:t>
      </w:r>
    </w:p>
    <w:p w:rsidR="0028250A" w:rsidRPr="00EE7059"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p>
    <w:p w:rsidR="0028250A"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A su vez, se realizan cursos</w:t>
      </w:r>
      <w:r w:rsidRPr="00EE7059">
        <w:rPr>
          <w:rFonts w:ascii="Arial Narrow" w:hAnsi="Arial Narrow"/>
          <w:color w:val="262626" w:themeColor="text1" w:themeTint="D9"/>
          <w:sz w:val="24"/>
          <w:szCs w:val="24"/>
          <w:lang w:val="es-ES"/>
        </w:rPr>
        <w:t xml:space="preserve"> de capacitación e instrucción a miembros de las Comisiones de Seguridad e</w:t>
      </w:r>
      <w:r>
        <w:rPr>
          <w:rFonts w:ascii="Arial Narrow" w:hAnsi="Arial Narrow"/>
          <w:color w:val="262626" w:themeColor="text1" w:themeTint="D9"/>
          <w:sz w:val="24"/>
          <w:szCs w:val="24"/>
          <w:lang w:val="es-ES"/>
        </w:rPr>
        <w:t xml:space="preserve"> Higiene.</w:t>
      </w:r>
    </w:p>
    <w:p w:rsidR="0028250A"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p>
    <w:p w:rsidR="0028250A"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lastRenderedPageBreak/>
        <w:t>Se certifica a su vez a operadores de maquinaria pesada en el manejo, prevención y mantenimiento de retroexcavadoras cargadores frontales, camiones fuera de carretera, entre otro tipo de maquinaria.</w:t>
      </w:r>
    </w:p>
    <w:p w:rsidR="0028250A" w:rsidRDefault="0028250A" w:rsidP="0028250A">
      <w:pPr>
        <w:pStyle w:val="Prrafodelista"/>
        <w:spacing w:after="0" w:line="360" w:lineRule="auto"/>
        <w:ind w:left="0"/>
        <w:jc w:val="both"/>
        <w:rPr>
          <w:rFonts w:ascii="Arial Narrow" w:hAnsi="Arial Narrow"/>
          <w:color w:val="262626" w:themeColor="text1" w:themeTint="D9"/>
          <w:sz w:val="24"/>
          <w:szCs w:val="24"/>
          <w:lang w:val="es-ES"/>
        </w:rPr>
      </w:pPr>
    </w:p>
    <w:p w:rsidR="0028250A" w:rsidRPr="00EE7059" w:rsidRDefault="0028250A" w:rsidP="0028250A">
      <w:pPr>
        <w:pStyle w:val="Prrafodelista"/>
        <w:spacing w:after="0" w:line="360" w:lineRule="auto"/>
        <w:ind w:left="0"/>
        <w:jc w:val="both"/>
        <w:rPr>
          <w:rFonts w:ascii="Arial Narrow" w:hAnsi="Arial Narrow"/>
          <w:color w:val="262626" w:themeColor="text1" w:themeTint="D9"/>
          <w:sz w:val="24"/>
          <w:szCs w:val="24"/>
        </w:rPr>
      </w:pPr>
      <w:r>
        <w:rPr>
          <w:rFonts w:ascii="Arial Narrow" w:hAnsi="Arial Narrow"/>
          <w:color w:val="262626" w:themeColor="text1" w:themeTint="D9"/>
          <w:sz w:val="24"/>
          <w:szCs w:val="24"/>
          <w:lang w:val="es-ES"/>
        </w:rPr>
        <w:t>Finalmente, se</w:t>
      </w:r>
      <w:r w:rsidRPr="00EE7059">
        <w:rPr>
          <w:rFonts w:ascii="Arial Narrow" w:hAnsi="Arial Narrow"/>
          <w:color w:val="262626" w:themeColor="text1" w:themeTint="D9"/>
          <w:sz w:val="24"/>
          <w:szCs w:val="24"/>
          <w:lang w:val="es-ES"/>
        </w:rPr>
        <w:t xml:space="preserve"> </w:t>
      </w:r>
      <w:r>
        <w:rPr>
          <w:rFonts w:ascii="Arial Narrow" w:hAnsi="Arial Narrow"/>
          <w:color w:val="262626" w:themeColor="text1" w:themeTint="D9"/>
          <w:sz w:val="24"/>
          <w:szCs w:val="24"/>
          <w:lang w:val="es-ES"/>
        </w:rPr>
        <w:t>realizó</w:t>
      </w:r>
      <w:r w:rsidRPr="00EE7059">
        <w:rPr>
          <w:rFonts w:ascii="Arial Narrow" w:hAnsi="Arial Narrow"/>
          <w:color w:val="262626" w:themeColor="text1" w:themeTint="D9"/>
          <w:sz w:val="24"/>
          <w:szCs w:val="24"/>
          <w:lang w:val="es-ES"/>
        </w:rPr>
        <w:t xml:space="preserve"> el Diplomado </w:t>
      </w:r>
      <w:r w:rsidRPr="00EE7059">
        <w:rPr>
          <w:rFonts w:ascii="Arial Narrow" w:hAnsi="Arial Narrow"/>
          <w:color w:val="262626" w:themeColor="text1" w:themeTint="D9"/>
          <w:sz w:val="24"/>
          <w:szCs w:val="24"/>
        </w:rPr>
        <w:t>en Seguridad, Higiene y Ecología para Minas de C</w:t>
      </w:r>
      <w:r>
        <w:rPr>
          <w:rFonts w:ascii="Arial Narrow" w:hAnsi="Arial Narrow"/>
          <w:color w:val="262626" w:themeColor="text1" w:themeTint="D9"/>
          <w:sz w:val="24"/>
          <w:szCs w:val="24"/>
        </w:rPr>
        <w:t>arbón, dirigido a mandos medios.</w:t>
      </w:r>
    </w:p>
    <w:p w:rsidR="0028250A" w:rsidRPr="00EE7059" w:rsidRDefault="0028250A" w:rsidP="0028250A">
      <w:pPr>
        <w:tabs>
          <w:tab w:val="num" w:pos="3600"/>
        </w:tabs>
        <w:spacing w:after="0" w:line="360" w:lineRule="auto"/>
        <w:jc w:val="both"/>
        <w:rPr>
          <w:rFonts w:ascii="Arial Narrow" w:hAnsi="Arial Narrow"/>
          <w:color w:val="262626" w:themeColor="text1" w:themeTint="D9"/>
          <w:sz w:val="24"/>
          <w:szCs w:val="24"/>
        </w:rPr>
      </w:pPr>
    </w:p>
    <w:p w:rsidR="0028250A" w:rsidRPr="00EE7059" w:rsidRDefault="0028250A" w:rsidP="0028250A">
      <w:pPr>
        <w:tabs>
          <w:tab w:val="num" w:pos="3600"/>
        </w:tabs>
        <w:spacing w:after="0" w:line="360" w:lineRule="auto"/>
        <w:jc w:val="both"/>
        <w:rPr>
          <w:rFonts w:ascii="Arial Narrow" w:hAnsi="Arial Narrow"/>
          <w:color w:val="262626" w:themeColor="text1" w:themeTint="D9"/>
          <w:sz w:val="24"/>
          <w:szCs w:val="24"/>
        </w:rPr>
      </w:pPr>
    </w:p>
    <w:p w:rsidR="0028250A" w:rsidRPr="00EE7059" w:rsidRDefault="0028250A" w:rsidP="0028250A">
      <w:pPr>
        <w:tabs>
          <w:tab w:val="num" w:pos="3600"/>
        </w:tabs>
        <w:spacing w:after="0" w:line="360" w:lineRule="auto"/>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hanging="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hanging="284"/>
        <w:jc w:val="both"/>
        <w:rPr>
          <w:rFonts w:ascii="Arial Narrow" w:hAnsi="Arial Narrow"/>
          <w:color w:val="262626" w:themeColor="text1" w:themeTint="D9"/>
          <w:sz w:val="24"/>
          <w:szCs w:val="24"/>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B). En el Área de Atención Médica.</w:t>
      </w:r>
    </w:p>
    <w:p w:rsidR="0028250A" w:rsidRDefault="0028250A" w:rsidP="0028250A">
      <w:pPr>
        <w:spacing w:after="0" w:line="360" w:lineRule="auto"/>
        <w:ind w:left="284" w:hanging="284"/>
        <w:jc w:val="both"/>
        <w:rPr>
          <w:rFonts w:ascii="Arial Narrow" w:hAnsi="Arial Narrow"/>
          <w:color w:val="262626" w:themeColor="text1" w:themeTint="D9"/>
          <w:sz w:val="24"/>
          <w:szCs w:val="24"/>
          <w:lang w:val="es-ES"/>
        </w:rPr>
      </w:pPr>
    </w:p>
    <w:p w:rsidR="0028250A" w:rsidRPr="00EE7059" w:rsidRDefault="0028250A" w:rsidP="0028250A">
      <w:pPr>
        <w:spacing w:after="0"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P</w:t>
      </w:r>
      <w:r w:rsidRPr="00EE7059">
        <w:rPr>
          <w:rFonts w:ascii="Arial Narrow" w:hAnsi="Arial Narrow"/>
          <w:color w:val="262626" w:themeColor="text1" w:themeTint="D9"/>
          <w:sz w:val="24"/>
          <w:szCs w:val="24"/>
          <w:lang w:val="es-ES"/>
        </w:rPr>
        <w:t>ara dar cumplimiento a lo estipulado en la Norma Oficial Mexicana 032 de la Secretaría de Trabajo y Previsión Social (NOM 032-STPS) de realizar exámenes médicos iniciales y periódicos a los trabajadores ocupacionalmente expuestos</w:t>
      </w:r>
      <w:r>
        <w:rPr>
          <w:rFonts w:ascii="Arial Narrow" w:hAnsi="Arial Narrow"/>
          <w:color w:val="262626" w:themeColor="text1" w:themeTint="D9"/>
          <w:sz w:val="24"/>
          <w:szCs w:val="24"/>
          <w:lang w:val="es-ES"/>
        </w:rPr>
        <w:t xml:space="preserve">, estos exámenes comprenden audiometría, </w:t>
      </w:r>
      <w:proofErr w:type="spellStart"/>
      <w:r>
        <w:rPr>
          <w:rFonts w:ascii="Arial Narrow" w:hAnsi="Arial Narrow"/>
          <w:color w:val="262626" w:themeColor="text1" w:themeTint="D9"/>
          <w:sz w:val="24"/>
          <w:szCs w:val="24"/>
          <w:lang w:val="es-ES"/>
        </w:rPr>
        <w:t>espirometría</w:t>
      </w:r>
      <w:proofErr w:type="spellEnd"/>
      <w:r>
        <w:rPr>
          <w:rFonts w:ascii="Arial Narrow" w:hAnsi="Arial Narrow"/>
          <w:color w:val="262626" w:themeColor="text1" w:themeTint="D9"/>
          <w:sz w:val="24"/>
          <w:szCs w:val="24"/>
          <w:lang w:val="es-ES"/>
        </w:rPr>
        <w:t>, exploración del sistema musculo esquelético y análisis de biometría hemática.</w:t>
      </w:r>
    </w:p>
    <w:p w:rsidR="0028250A" w:rsidRDefault="0028250A" w:rsidP="0028250A">
      <w:pPr>
        <w:tabs>
          <w:tab w:val="num" w:pos="3600"/>
        </w:tabs>
        <w:spacing w:after="0" w:line="360" w:lineRule="auto"/>
        <w:ind w:left="284" w:hanging="284"/>
        <w:jc w:val="both"/>
        <w:rPr>
          <w:rFonts w:ascii="Arial Narrow" w:hAnsi="Arial Narrow"/>
          <w:color w:val="262626" w:themeColor="text1" w:themeTint="D9"/>
          <w:sz w:val="24"/>
          <w:szCs w:val="24"/>
          <w:lang w:val="es-ES"/>
        </w:rPr>
      </w:pPr>
    </w:p>
    <w:p w:rsidR="0028250A" w:rsidRPr="00EE7059" w:rsidRDefault="0028250A" w:rsidP="0028250A">
      <w:pPr>
        <w:tabs>
          <w:tab w:val="num" w:pos="3600"/>
        </w:tabs>
        <w:spacing w:after="0" w:line="360" w:lineRule="auto"/>
        <w:ind w:left="284" w:hanging="284"/>
        <w:jc w:val="both"/>
        <w:rPr>
          <w:rFonts w:ascii="Arial Narrow" w:hAnsi="Arial Narrow"/>
          <w:color w:val="262626" w:themeColor="text1" w:themeTint="D9"/>
          <w:sz w:val="24"/>
          <w:szCs w:val="24"/>
          <w:lang w:val="es-ES"/>
        </w:rPr>
      </w:pPr>
    </w:p>
    <w:p w:rsidR="0028250A" w:rsidRPr="0088143A" w:rsidRDefault="0028250A" w:rsidP="0028250A">
      <w:pPr>
        <w:tabs>
          <w:tab w:val="num" w:pos="3600"/>
        </w:tabs>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C).Área de Rescate:</w:t>
      </w: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lang w:val="es-ES"/>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lang w:val="es-ES"/>
        </w:rPr>
      </w:pP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lang w:val="es-ES"/>
        </w:rPr>
      </w:pPr>
      <w:r w:rsidRPr="00EE7059">
        <w:rPr>
          <w:rFonts w:ascii="Arial Narrow" w:hAnsi="Arial Narrow"/>
          <w:color w:val="262626" w:themeColor="text1" w:themeTint="D9"/>
          <w:sz w:val="24"/>
          <w:szCs w:val="24"/>
          <w:lang w:val="es-ES"/>
        </w:rPr>
        <w:t>Se han integrado dos cuadrillas de rescate conformadas por 10 miembros que son</w:t>
      </w:r>
      <w:r w:rsidRPr="00EE7059">
        <w:rPr>
          <w:rFonts w:ascii="Arial Narrow" w:hAnsi="Arial Narrow"/>
          <w:color w:val="262626" w:themeColor="text1" w:themeTint="D9"/>
          <w:kern w:val="24"/>
          <w:sz w:val="24"/>
          <w:szCs w:val="24"/>
          <w:lang w:val="es-ES"/>
        </w:rPr>
        <w:t xml:space="preserve"> </w:t>
      </w:r>
      <w:r w:rsidRPr="00EE7059">
        <w:rPr>
          <w:rFonts w:ascii="Arial Narrow" w:hAnsi="Arial Narrow"/>
          <w:color w:val="262626" w:themeColor="text1" w:themeTint="D9"/>
          <w:sz w:val="24"/>
          <w:szCs w:val="24"/>
          <w:lang w:val="es-ES"/>
        </w:rPr>
        <w:t>trabajadores de empresas que se dedican a la extracción del carbón y se reúnen cada viernes para recibir capacitación y entrenamiento en</w:t>
      </w:r>
      <w:r>
        <w:rPr>
          <w:rFonts w:ascii="Arial Narrow" w:hAnsi="Arial Narrow"/>
          <w:color w:val="262626" w:themeColor="text1" w:themeTint="D9"/>
          <w:sz w:val="24"/>
          <w:szCs w:val="24"/>
          <w:lang w:val="es-ES"/>
        </w:rPr>
        <w:t xml:space="preserve"> diferentes aspectos entre los que se destaca</w:t>
      </w:r>
      <w:r w:rsidRPr="00EE7059">
        <w:rPr>
          <w:rFonts w:ascii="Arial Narrow" w:hAnsi="Arial Narrow"/>
          <w:color w:val="262626" w:themeColor="text1" w:themeTint="D9"/>
          <w:sz w:val="24"/>
          <w:szCs w:val="24"/>
          <w:lang w:val="es-ES"/>
        </w:rPr>
        <w:t>:</w:t>
      </w: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lang w:val="es-ES"/>
        </w:rPr>
      </w:pPr>
    </w:p>
    <w:p w:rsidR="0028250A" w:rsidRPr="00EE7059" w:rsidRDefault="0028250A" w:rsidP="0028250A">
      <w:pPr>
        <w:numPr>
          <w:ilvl w:val="0"/>
          <w:numId w:val="2"/>
        </w:numPr>
        <w:tabs>
          <w:tab w:val="num" w:pos="3600"/>
        </w:tabs>
        <w:spacing w:after="0" w:line="360" w:lineRule="auto"/>
        <w:ind w:left="714" w:right="1041" w:hanging="357"/>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Procedimientos de rescate en caso de explosión de una mina de carbón.</w:t>
      </w:r>
    </w:p>
    <w:p w:rsidR="0028250A" w:rsidRPr="00EE7059" w:rsidRDefault="0028250A" w:rsidP="0028250A">
      <w:pPr>
        <w:numPr>
          <w:ilvl w:val="0"/>
          <w:numId w:val="2"/>
        </w:numPr>
        <w:tabs>
          <w:tab w:val="num" w:pos="3600"/>
        </w:tabs>
        <w:spacing w:after="0" w:line="360" w:lineRule="auto"/>
        <w:ind w:left="714" w:right="1041" w:hanging="357"/>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Puesta en operación de equipos auxiliares. (torres de iluminación, equipo de bombeo, tijeras de la vida)</w:t>
      </w:r>
    </w:p>
    <w:p w:rsidR="0028250A" w:rsidRPr="00EE7059" w:rsidRDefault="0028250A" w:rsidP="0028250A">
      <w:pPr>
        <w:numPr>
          <w:ilvl w:val="0"/>
          <w:numId w:val="2"/>
        </w:numPr>
        <w:tabs>
          <w:tab w:val="num" w:pos="3600"/>
        </w:tabs>
        <w:spacing w:after="0" w:line="360" w:lineRule="auto"/>
        <w:ind w:left="714" w:right="1041" w:hanging="357"/>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lastRenderedPageBreak/>
        <w:t>Puesta en operación de vehículos auxiliares. (Grúa, ambulancia)</w:t>
      </w:r>
    </w:p>
    <w:p w:rsidR="0028250A" w:rsidRPr="00EE7059" w:rsidRDefault="0028250A" w:rsidP="0028250A">
      <w:pPr>
        <w:numPr>
          <w:ilvl w:val="0"/>
          <w:numId w:val="2"/>
        </w:numPr>
        <w:tabs>
          <w:tab w:val="num" w:pos="3600"/>
        </w:tabs>
        <w:spacing w:after="0" w:line="360" w:lineRule="auto"/>
        <w:ind w:left="714" w:right="1041" w:hanging="357"/>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Curso de combate de incendios.</w:t>
      </w:r>
    </w:p>
    <w:p w:rsidR="0028250A" w:rsidRPr="00EE7059" w:rsidRDefault="0028250A" w:rsidP="0028250A">
      <w:pPr>
        <w:numPr>
          <w:ilvl w:val="0"/>
          <w:numId w:val="2"/>
        </w:numPr>
        <w:tabs>
          <w:tab w:val="num" w:pos="3600"/>
        </w:tabs>
        <w:spacing w:after="0" w:line="360" w:lineRule="auto"/>
        <w:ind w:left="714" w:right="1041" w:hanging="357"/>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Primeros auxilios y operación de equipos auxiliares de emergencia.</w:t>
      </w:r>
    </w:p>
    <w:p w:rsidR="0028250A" w:rsidRPr="00EE7059" w:rsidRDefault="0028250A" w:rsidP="0028250A">
      <w:pPr>
        <w:numPr>
          <w:ilvl w:val="0"/>
          <w:numId w:val="2"/>
        </w:numPr>
        <w:tabs>
          <w:tab w:val="num" w:pos="3600"/>
        </w:tabs>
        <w:spacing w:after="0" w:line="360" w:lineRule="auto"/>
        <w:ind w:left="714" w:right="1041" w:hanging="357"/>
        <w:jc w:val="both"/>
        <w:rPr>
          <w:rFonts w:ascii="Arial Narrow" w:hAnsi="Arial Narrow"/>
          <w:color w:val="262626" w:themeColor="text1" w:themeTint="D9"/>
          <w:sz w:val="24"/>
          <w:szCs w:val="24"/>
        </w:rPr>
      </w:pPr>
      <w:r w:rsidRPr="00EE7059">
        <w:rPr>
          <w:rFonts w:ascii="Arial Narrow" w:hAnsi="Arial Narrow"/>
          <w:color w:val="262626" w:themeColor="text1" w:themeTint="D9"/>
          <w:sz w:val="24"/>
          <w:szCs w:val="24"/>
          <w:lang w:val="es-ES"/>
        </w:rPr>
        <w:t>Capacitación en simbología de rescate.</w:t>
      </w:r>
    </w:p>
    <w:p w:rsidR="0028250A" w:rsidRPr="00EE7059" w:rsidRDefault="0028250A" w:rsidP="0028250A">
      <w:pPr>
        <w:tabs>
          <w:tab w:val="num" w:pos="3600"/>
        </w:tabs>
        <w:spacing w:after="0" w:line="360" w:lineRule="auto"/>
        <w:ind w:left="714"/>
        <w:jc w:val="both"/>
        <w:rPr>
          <w:rFonts w:ascii="Arial Narrow" w:hAnsi="Arial Narrow"/>
          <w:color w:val="262626" w:themeColor="text1" w:themeTint="D9"/>
          <w:sz w:val="24"/>
          <w:szCs w:val="24"/>
          <w:lang w:val="es-ES"/>
        </w:rPr>
      </w:pP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Pr="0088143A" w:rsidRDefault="0028250A" w:rsidP="0028250A">
      <w:pPr>
        <w:spacing w:after="0" w:line="360" w:lineRule="auto"/>
        <w:ind w:left="284" w:hanging="284"/>
        <w:jc w:val="right"/>
        <w:rPr>
          <w:rFonts w:ascii="Arial Narrow" w:hAnsi="Arial Narrow"/>
          <w:b/>
          <w:color w:val="0F243E" w:themeColor="text2" w:themeShade="80"/>
          <w:sz w:val="28"/>
          <w:szCs w:val="28"/>
          <w:u w:val="single"/>
          <w:lang w:val="es-ES"/>
        </w:rPr>
      </w:pPr>
      <w:r w:rsidRPr="0088143A">
        <w:rPr>
          <w:rFonts w:ascii="Arial Narrow" w:hAnsi="Arial Narrow"/>
          <w:b/>
          <w:color w:val="0F243E" w:themeColor="text2" w:themeShade="80"/>
          <w:sz w:val="28"/>
          <w:szCs w:val="28"/>
          <w:u w:val="single"/>
          <w:lang w:val="es-ES"/>
        </w:rPr>
        <w:t>Presupuesto por Programas.</w:t>
      </w: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La variedad, complejidad y naturaleza de cada una de las funciones operativas de los tres rubros del Programa de Seguridad en la explotación  y comercialización del carbón producido en la región carbonífera del estado de Coahuila, hace incompatible poder especificar una sola taza o medida administrativa única y absoluta, por lo que se ha desarrollado el presupuesto por capítulos presentado a aprobación del Subcomité de Seguridad propio de este programa, dentro del cual se especifican cada uno de los gastos generales y concentrados de los tres aspectos en que se involucra el programa de Seguridad.</w:t>
      </w: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A continuación se especifican los planes individuales de cada uno de los rubros, estimando los costos de cada una de las áreas en las que impactara:</w:t>
      </w: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spacing w:after="0" w:line="360" w:lineRule="auto"/>
        <w:ind w:left="284" w:hanging="284"/>
        <w:jc w:val="right"/>
        <w:rPr>
          <w:rFonts w:ascii="Arial Narrow" w:hAnsi="Arial Narrow"/>
          <w:color w:val="0F243E" w:themeColor="text2" w:themeShade="80"/>
          <w:sz w:val="24"/>
          <w:szCs w:val="24"/>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Capacitación en Seguridad.</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1000 (Servicios Personales)</w:t>
      </w:r>
    </w:p>
    <w:p w:rsidR="0028250A" w:rsidRPr="00E1365F" w:rsidRDefault="0028250A" w:rsidP="0028250A">
      <w:pPr>
        <w:tabs>
          <w:tab w:val="num" w:pos="3600"/>
        </w:tabs>
        <w:spacing w:after="0" w:line="360" w:lineRule="auto"/>
        <w:ind w:left="284"/>
        <w:jc w:val="both"/>
        <w:rPr>
          <w:rFonts w:ascii="Arial Narrow" w:hAnsi="Arial Narrow"/>
          <w:color w:val="262626" w:themeColor="text1" w:themeTint="D9"/>
          <w:sz w:val="24"/>
          <w:szCs w:val="24"/>
          <w:lang w:val="es-ES"/>
        </w:rPr>
      </w:pPr>
    </w:p>
    <w:p w:rsidR="0028250A" w:rsidRPr="00EE7059" w:rsidRDefault="0028250A" w:rsidP="0028250A">
      <w:pPr>
        <w:tabs>
          <w:tab w:val="num" w:pos="3600"/>
        </w:tabs>
        <w:spacing w:after="0" w:line="360" w:lineRule="auto"/>
        <w:ind w:left="284"/>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Se prevé aumentar el número de personas atendidas en esta área a razón del crecimiento natural que se ha ido dando a lo largo de los últimos años que representa al menos elevar en un 10% el nivel de volumen total de atención en cada una de las vertientes de capacitación que se imparten, desde base trabajadora, mandos medios, comisiones de seguridad e higiene y operadores de maquinaria pesada.</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Para llevar a cabo este objetivo es necesario contar con recursos humanos capacitados y aptos para las diferentes funciones que esto conlleva, así se presupuesta en este ejercicio el siguiente personal:</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En el caso especial del Coordinador de Capacitación, este costo será absorbido por la administración de la PRODEMI, encargado de coordinar los horarios, temas, instructores, la asistencia de las personas que recibirán las instrucción, vincular el programa de capacitación con las diferentes empresas, verificar el cumplimento en tiempo y forma de los cursos impartidos.</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lastRenderedPageBreak/>
        <w:t xml:space="preserve">Un auxiliar administrativo (costo anual: $ 96, 300.00; Noventa y seis mil trescientos pesos 00/100 M. N.); quien recibe, verifica y captura los datos del personal a capacitar, así mismo, emite las constancias de habilidades y </w:t>
      </w:r>
      <w:proofErr w:type="spellStart"/>
      <w:r>
        <w:rPr>
          <w:rFonts w:ascii="Arial Narrow" w:hAnsi="Arial Narrow"/>
          <w:color w:val="262626" w:themeColor="text1" w:themeTint="D9"/>
          <w:sz w:val="24"/>
          <w:szCs w:val="24"/>
        </w:rPr>
        <w:t>credencializa</w:t>
      </w:r>
      <w:proofErr w:type="spellEnd"/>
      <w:r>
        <w:rPr>
          <w:rFonts w:ascii="Arial Narrow" w:hAnsi="Arial Narrow"/>
          <w:color w:val="262626" w:themeColor="text1" w:themeTint="D9"/>
          <w:sz w:val="24"/>
          <w:szCs w:val="24"/>
        </w:rPr>
        <w:t xml:space="preserve"> a cada uno de los trabajadores instruidos.</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Un vigilante para el aula móvil con un costo anual de $ 60, 000.00, (sesenta mil pesos 00/100 M. N.) por encontrarse ubicada dicha aula móvil en una de las comunidades de la región es necesario su resguardo y a su vez esta misma personas se encargara de la limpieza de este vehículo.</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Capacitación en Seguridad.</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Pr>
          <w:rFonts w:ascii="Arial Narrow" w:hAnsi="Arial Narrow"/>
          <w:color w:val="0F243E" w:themeColor="text2" w:themeShade="80"/>
          <w:sz w:val="28"/>
          <w:szCs w:val="28"/>
          <w:lang w:val="es-ES"/>
        </w:rPr>
        <w:t>Dentro del Capítulo 3</w:t>
      </w:r>
      <w:r w:rsidRPr="0088143A">
        <w:rPr>
          <w:rFonts w:ascii="Arial Narrow" w:hAnsi="Arial Narrow"/>
          <w:color w:val="0F243E" w:themeColor="text2" w:themeShade="80"/>
          <w:sz w:val="28"/>
          <w:szCs w:val="28"/>
          <w:lang w:val="es-ES"/>
        </w:rPr>
        <w:t>000 (Servicios)</w:t>
      </w:r>
    </w:p>
    <w:p w:rsidR="0028250A" w:rsidRPr="00FF2F82" w:rsidRDefault="0028250A" w:rsidP="0028250A">
      <w:pPr>
        <w:spacing w:line="360" w:lineRule="auto"/>
        <w:jc w:val="both"/>
        <w:rPr>
          <w:rFonts w:ascii="Arial Narrow" w:hAnsi="Arial Narrow"/>
          <w:color w:val="262626" w:themeColor="text1" w:themeTint="D9"/>
          <w:sz w:val="24"/>
          <w:szCs w:val="24"/>
          <w:lang w:val="es-ES"/>
        </w:rPr>
      </w:pPr>
    </w:p>
    <w:p w:rsidR="0028250A" w:rsidRPr="00FF2F82" w:rsidRDefault="0028250A" w:rsidP="0028250A">
      <w:pPr>
        <w:spacing w:line="360" w:lineRule="auto"/>
        <w:jc w:val="both"/>
        <w:rPr>
          <w:rFonts w:ascii="Arial Narrow" w:hAnsi="Arial Narrow"/>
          <w:sz w:val="24"/>
          <w:szCs w:val="24"/>
        </w:rPr>
      </w:pPr>
      <w:r w:rsidRPr="00FF2F82">
        <w:rPr>
          <w:rFonts w:ascii="Arial Narrow" w:hAnsi="Arial Narrow"/>
          <w:sz w:val="24"/>
          <w:szCs w:val="24"/>
        </w:rPr>
        <w:t xml:space="preserve">Cuatro instructores certificados por la STPS (Costo Anual $ </w:t>
      </w:r>
      <w:r>
        <w:rPr>
          <w:rFonts w:ascii="Arial Narrow" w:hAnsi="Arial Narrow"/>
          <w:sz w:val="24"/>
          <w:szCs w:val="24"/>
        </w:rPr>
        <w:t>800, 000.00</w:t>
      </w:r>
      <w:r w:rsidRPr="00FF2F82">
        <w:rPr>
          <w:rFonts w:ascii="Arial Narrow" w:hAnsi="Arial Narrow"/>
          <w:sz w:val="24"/>
          <w:szCs w:val="24"/>
        </w:rPr>
        <w:t xml:space="preserve">; </w:t>
      </w:r>
      <w:r>
        <w:rPr>
          <w:rFonts w:ascii="Arial Narrow" w:hAnsi="Arial Narrow"/>
          <w:sz w:val="24"/>
          <w:szCs w:val="24"/>
        </w:rPr>
        <w:t>Ochocientos mil</w:t>
      </w:r>
      <w:r w:rsidRPr="00FF2F82">
        <w:rPr>
          <w:rFonts w:ascii="Arial Narrow" w:hAnsi="Arial Narrow"/>
          <w:sz w:val="24"/>
          <w:szCs w:val="24"/>
        </w:rPr>
        <w:t xml:space="preserve"> pesos</w:t>
      </w:r>
      <w:r>
        <w:rPr>
          <w:rFonts w:ascii="Arial Narrow" w:hAnsi="Arial Narrow"/>
          <w:sz w:val="24"/>
          <w:szCs w:val="24"/>
        </w:rPr>
        <w:t xml:space="preserve"> 00/100 M. N.</w:t>
      </w:r>
      <w:r w:rsidRPr="00FF2F82">
        <w:rPr>
          <w:rFonts w:ascii="Arial Narrow" w:hAnsi="Arial Narrow"/>
          <w:sz w:val="24"/>
          <w:szCs w:val="24"/>
        </w:rPr>
        <w:t xml:space="preserve">), para impartir cada uno de los cursos que se presentan en la plantilla de instrucción misma que depende del nivel o escalafón al que pertenece el personal a capacitar, estos instructores serán asignados por el Coordinador de Capacitación y la remuneración por sus servicios se realizará en pago por horas impartidas. </w:t>
      </w: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center"/>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B).</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Servicio Médico.</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1000 (Servicios Personales)</w:t>
      </w:r>
    </w:p>
    <w:p w:rsidR="0028250A" w:rsidRDefault="0028250A" w:rsidP="0028250A">
      <w:pPr>
        <w:spacing w:line="360" w:lineRule="auto"/>
        <w:rPr>
          <w:rFonts w:ascii="Arial Narrow" w:hAnsi="Arial Narrow"/>
          <w:color w:val="404040" w:themeColor="text1" w:themeTint="BF"/>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La atención en este aspecto se proyecta con un aumento de atención del nivel del 10% de crecimiento total anual.</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Para llevar a cabo este objetivo es necesario contar con recursos humanos capacitados y aptos para las diferentes funciones que esto conlleva, así se presupuesta en este ejercicio el siguiente personal:</w:t>
      </w:r>
    </w:p>
    <w:p w:rsidR="0028250A" w:rsidRDefault="0028250A" w:rsidP="0028250A">
      <w:pPr>
        <w:spacing w:line="360" w:lineRule="auto"/>
        <w:rPr>
          <w:rFonts w:ascii="Arial Narrow" w:hAnsi="Arial Narrow"/>
          <w:color w:val="404040" w:themeColor="text1" w:themeTint="BF"/>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Un Coordinador de Médico (costo anual: $ 293, 328.00; Doscientos noventa y tres mil trescientos veintiocho pesos 00/100 M. N.), quien lleva a cabo las exploraciones, chequeos e interpretación de análisis y placas de los diferentes estudios que se deben realizar según las normas del a STPS, tanto en los trabajadores de minas, tajos o pozos de extracción.</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Un Auxiliar administrativo (costo anual: $ 96, 300.00; noventa y seis mil trescientos pesos 00/100 M. N.); quien recibe, verifica y captura los datos del personal que será atendido y examinado, llevando el control y archivando los historiales de cada uno de los trabajadores en cuestión.</w:t>
      </w:r>
    </w:p>
    <w:p w:rsidR="0028250A" w:rsidRDefault="0028250A" w:rsidP="0028250A">
      <w:pPr>
        <w:spacing w:line="360" w:lineRule="auto"/>
        <w:rPr>
          <w:rFonts w:ascii="Arial Narrow" w:hAnsi="Arial Narrow"/>
          <w:color w:val="404040" w:themeColor="text1" w:themeTint="BF"/>
          <w:sz w:val="24"/>
          <w:szCs w:val="24"/>
        </w:rPr>
      </w:pPr>
    </w:p>
    <w:p w:rsidR="0028250A" w:rsidRDefault="0028250A" w:rsidP="0028250A">
      <w:pPr>
        <w:spacing w:line="360" w:lineRule="auto"/>
        <w:rPr>
          <w:rFonts w:ascii="Arial Narrow" w:hAnsi="Arial Narrow"/>
          <w:color w:val="404040" w:themeColor="text1" w:themeTint="BF"/>
          <w:sz w:val="24"/>
          <w:szCs w:val="24"/>
        </w:rPr>
      </w:pPr>
    </w:p>
    <w:p w:rsidR="0028250A" w:rsidRDefault="0028250A" w:rsidP="0028250A">
      <w:pPr>
        <w:spacing w:line="360" w:lineRule="auto"/>
        <w:rPr>
          <w:rFonts w:ascii="Arial Narrow" w:hAnsi="Arial Narrow"/>
          <w:color w:val="404040" w:themeColor="text1" w:themeTint="BF"/>
          <w:sz w:val="24"/>
          <w:szCs w:val="24"/>
        </w:rPr>
      </w:pPr>
    </w:p>
    <w:p w:rsidR="0028250A" w:rsidRDefault="0028250A" w:rsidP="0028250A">
      <w:pPr>
        <w:spacing w:line="360" w:lineRule="auto"/>
        <w:rPr>
          <w:rFonts w:ascii="Arial Narrow" w:hAnsi="Arial Narrow"/>
          <w:color w:val="404040" w:themeColor="text1" w:themeTint="BF"/>
          <w:sz w:val="24"/>
          <w:szCs w:val="24"/>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B).</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Servicio Médico.</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2000 (Materiales y Suministros)</w:t>
      </w:r>
    </w:p>
    <w:p w:rsidR="0028250A" w:rsidRDefault="0028250A" w:rsidP="0028250A">
      <w:pPr>
        <w:spacing w:line="360" w:lineRule="auto"/>
        <w:rPr>
          <w:rFonts w:ascii="Arial Narrow" w:hAnsi="Arial Narrow"/>
          <w:color w:val="404040" w:themeColor="text1" w:themeTint="BF"/>
          <w:sz w:val="24"/>
          <w:szCs w:val="24"/>
          <w:lang w:val="es-ES"/>
        </w:rPr>
      </w:pPr>
    </w:p>
    <w:p w:rsidR="0028250A" w:rsidRDefault="0028250A" w:rsidP="0028250A">
      <w:pPr>
        <w:spacing w:line="360" w:lineRule="auto"/>
        <w:rPr>
          <w:rFonts w:ascii="Arial Narrow" w:hAnsi="Arial Narrow"/>
          <w:color w:val="404040" w:themeColor="text1" w:themeTint="BF"/>
          <w:sz w:val="24"/>
          <w:szCs w:val="24"/>
          <w:lang w:val="es-ES"/>
        </w:rPr>
      </w:pPr>
      <w:r>
        <w:rPr>
          <w:rFonts w:ascii="Arial Narrow" w:hAnsi="Arial Narrow"/>
          <w:color w:val="404040" w:themeColor="text1" w:themeTint="BF"/>
          <w:sz w:val="24"/>
          <w:szCs w:val="24"/>
          <w:lang w:val="es-ES"/>
        </w:rPr>
        <w:t>Para el desempeño de los estudios, análisis y consecución de las metas planteadas para esta área médica, se prevé por la compra de consumibles médicos un total anual de $ 35, 000.00 (treinta y cinco mil pesos).</w:t>
      </w:r>
    </w:p>
    <w:p w:rsidR="0028250A" w:rsidRDefault="0028250A" w:rsidP="0028250A">
      <w:pPr>
        <w:spacing w:line="360" w:lineRule="auto"/>
        <w:rPr>
          <w:rFonts w:ascii="Arial Narrow" w:hAnsi="Arial Narrow"/>
          <w:color w:val="404040" w:themeColor="text1" w:themeTint="BF"/>
          <w:sz w:val="24"/>
          <w:szCs w:val="24"/>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B).</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Servicio Médico.</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Pr>
          <w:rFonts w:ascii="Arial Narrow" w:hAnsi="Arial Narrow"/>
          <w:color w:val="0F243E" w:themeColor="text2" w:themeShade="80"/>
          <w:sz w:val="28"/>
          <w:szCs w:val="28"/>
          <w:lang w:val="es-ES"/>
        </w:rPr>
        <w:t>Dentro del Capítulo 3</w:t>
      </w:r>
      <w:r w:rsidRPr="0088143A">
        <w:rPr>
          <w:rFonts w:ascii="Arial Narrow" w:hAnsi="Arial Narrow"/>
          <w:color w:val="0F243E" w:themeColor="text2" w:themeShade="80"/>
          <w:sz w:val="28"/>
          <w:szCs w:val="28"/>
          <w:lang w:val="es-ES"/>
        </w:rPr>
        <w:t>000 (</w:t>
      </w:r>
      <w:r>
        <w:rPr>
          <w:rFonts w:ascii="Arial Narrow" w:hAnsi="Arial Narrow"/>
          <w:color w:val="0F243E" w:themeColor="text2" w:themeShade="80"/>
          <w:sz w:val="28"/>
          <w:szCs w:val="28"/>
          <w:lang w:val="es-ES"/>
        </w:rPr>
        <w:t>Servicios</w:t>
      </w:r>
      <w:r w:rsidRPr="0088143A">
        <w:rPr>
          <w:rFonts w:ascii="Arial Narrow" w:hAnsi="Arial Narrow"/>
          <w:color w:val="0F243E" w:themeColor="text2" w:themeShade="80"/>
          <w:sz w:val="28"/>
          <w:szCs w:val="28"/>
          <w:lang w:val="es-ES"/>
        </w:rPr>
        <w:t>)</w:t>
      </w:r>
    </w:p>
    <w:p w:rsidR="0028250A" w:rsidRDefault="0028250A" w:rsidP="0028250A">
      <w:pPr>
        <w:spacing w:line="360" w:lineRule="auto"/>
        <w:rPr>
          <w:rFonts w:ascii="Arial Narrow" w:hAnsi="Arial Narrow"/>
          <w:color w:val="404040" w:themeColor="text1" w:themeTint="BF"/>
          <w:sz w:val="24"/>
          <w:szCs w:val="24"/>
          <w:lang w:val="es-ES"/>
        </w:rPr>
      </w:pPr>
    </w:p>
    <w:p w:rsidR="0028250A" w:rsidRDefault="0028250A" w:rsidP="0028250A">
      <w:pPr>
        <w:spacing w:line="360" w:lineRule="auto"/>
        <w:rPr>
          <w:rFonts w:ascii="Arial Narrow" w:hAnsi="Arial Narrow"/>
          <w:color w:val="404040" w:themeColor="text1" w:themeTint="BF"/>
          <w:sz w:val="24"/>
          <w:szCs w:val="24"/>
          <w:lang w:val="es-ES"/>
        </w:rPr>
      </w:pPr>
      <w:r>
        <w:rPr>
          <w:rFonts w:ascii="Arial Narrow" w:hAnsi="Arial Narrow"/>
          <w:color w:val="0F243E" w:themeColor="text2" w:themeShade="80"/>
          <w:sz w:val="24"/>
          <w:szCs w:val="24"/>
          <w:lang w:val="es-ES"/>
        </w:rPr>
        <w:t>A su vez, para la realización de los análisis de rayos X, se contempla un servicio de radiografías el cual asciende a un costo anual de $ 150, 000.00 (Ciento cincuenta mil pesos 00/100 M. N.) y en el caso de los análisis de biometría hemática $ 10, 000.00 (Diez mil pesos 00/100 M. N.)</w:t>
      </w:r>
    </w:p>
    <w:p w:rsidR="0028250A" w:rsidRPr="00B6334D" w:rsidRDefault="0028250A" w:rsidP="0028250A">
      <w:pPr>
        <w:spacing w:line="360" w:lineRule="auto"/>
        <w:rPr>
          <w:rFonts w:ascii="Arial Narrow" w:hAnsi="Arial Narrow"/>
          <w:color w:val="404040" w:themeColor="text1" w:themeTint="BF"/>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C).</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lastRenderedPageBreak/>
        <w:t>En el Área de Cuadrillas de Rescate Minero.</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1000 (Servicios Personales)</w:t>
      </w:r>
    </w:p>
    <w:p w:rsidR="0028250A" w:rsidRDefault="0028250A" w:rsidP="0028250A">
      <w:pPr>
        <w:spacing w:line="360" w:lineRule="auto"/>
        <w:rPr>
          <w:rFonts w:ascii="Arial Narrow" w:hAnsi="Arial Narrow"/>
          <w:color w:val="404040" w:themeColor="text1" w:themeTint="BF"/>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En este rubro no es posible obtener un porcentaje especifico de crecimiento proyectado o estimado, debido a que la naturaleza de esta área de atención radica en la operatividad y en la consecución de atención en el caso de algún tipo de siniestro o contingencia, principalmente en el ámbito minero. Por lo cual solo se puede proyectar en este capítulo el mantener al 100% la cantidad de miembros que conforman cada una de las dos cuadrillas de rescate que se han conformado, así como también tener en óptimo estado los materiales, combustibles, consumibles y equipos necesarios.</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Para llevar a cabo esto es necesario contar con recursos humanos capacitados y aptos para las diferentes funciones que conlleva, así se presupuesta en este ejercicio el siguiente personal:</w:t>
      </w:r>
    </w:p>
    <w:p w:rsidR="0028250A" w:rsidRDefault="0028250A" w:rsidP="0028250A">
      <w:pPr>
        <w:spacing w:line="360" w:lineRule="auto"/>
        <w:rPr>
          <w:rFonts w:ascii="Arial Narrow" w:hAnsi="Arial Narrow"/>
          <w:color w:val="404040" w:themeColor="text1" w:themeTint="BF"/>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 xml:space="preserve">Un coordinador de cuadrillas de rescate minero con un costo anual de $ 321, 216.00; Trescientos veintiún mil doscientos dieciséis pesos 00/100 M. N., dedicado a implementar sistemas de atención rápida y oportuna, </w:t>
      </w:r>
      <w:proofErr w:type="spellStart"/>
      <w:r>
        <w:rPr>
          <w:rFonts w:ascii="Arial Narrow" w:hAnsi="Arial Narrow"/>
          <w:color w:val="262626" w:themeColor="text1" w:themeTint="D9"/>
          <w:sz w:val="24"/>
          <w:szCs w:val="24"/>
        </w:rPr>
        <w:t>agendar</w:t>
      </w:r>
      <w:proofErr w:type="spellEnd"/>
      <w:r>
        <w:rPr>
          <w:rFonts w:ascii="Arial Narrow" w:hAnsi="Arial Narrow"/>
          <w:color w:val="262626" w:themeColor="text1" w:themeTint="D9"/>
          <w:sz w:val="24"/>
          <w:szCs w:val="24"/>
        </w:rPr>
        <w:t xml:space="preserve"> e instruir a los miembros de la cuadrilla en sus diferentes actividades, coordinar la capacitación de los mismos, así mismo fomentar la participación y la vinculación de las empresas con las cuadrillas, apoyando en cada uno de los aspectos propios de la seguridad minera.</w:t>
      </w:r>
    </w:p>
    <w:p w:rsidR="0028250A" w:rsidRDefault="0028250A" w:rsidP="0028250A">
      <w:pPr>
        <w:spacing w:line="360" w:lineRule="auto"/>
        <w:jc w:val="both"/>
        <w:rPr>
          <w:rFonts w:ascii="Arial Narrow" w:hAnsi="Arial Narrow"/>
          <w:color w:val="262626" w:themeColor="text1" w:themeTint="D9"/>
          <w:sz w:val="24"/>
          <w:szCs w:val="24"/>
        </w:rPr>
      </w:pPr>
    </w:p>
    <w:p w:rsidR="0028250A" w:rsidRDefault="0028250A" w:rsidP="0028250A">
      <w:pPr>
        <w:spacing w:line="360" w:lineRule="auto"/>
        <w:jc w:val="both"/>
        <w:rPr>
          <w:rFonts w:ascii="Arial Narrow" w:hAnsi="Arial Narrow"/>
          <w:color w:val="262626" w:themeColor="text1" w:themeTint="D9"/>
          <w:sz w:val="24"/>
          <w:szCs w:val="24"/>
        </w:rPr>
      </w:pPr>
      <w:r>
        <w:rPr>
          <w:rFonts w:ascii="Arial Narrow" w:hAnsi="Arial Narrow"/>
          <w:color w:val="262626" w:themeColor="text1" w:themeTint="D9"/>
          <w:sz w:val="24"/>
          <w:szCs w:val="24"/>
        </w:rPr>
        <w:t>Dos cuadrillas de rescate, entregadas por 5 miembros cada una, con un costo anual total de $ 396, 000.00, Trescientos noventa y seis mil pesos 00/100 M. N.; divididos en diferentes puestos de operación en la cuadrilla de acuerdo al esquema de instrumentación presentado por el coordinador de las mismas; adiestrados, capacitados e instruidos cada viernes en el Centro de Seguridad y Capacitación Minera, en temas de rescate, salvamento, utilización de maquinaria y equipo de bombeo, primeros auxilios.</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C).</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Cuadrillas de Rescate Minero.</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lastRenderedPageBreak/>
        <w:t>Dentro del Capítulo 2000 (Materiales y Suministros)</w:t>
      </w: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En este apartado específico se contempla la compra para los suministros de consumibles para la cuadrilla de rescate, propios de las prácticas de simulacros de salvamento que se realizan periódicamente, se destinará un monto anual total de $ 150, 000.00 (Ciento cincuenta mil pesos 00/100 M. N.). </w:t>
      </w: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 la operación del Centro de Seguridad y Capacitación Minera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Administrativa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1000 (Servicios Personales)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lastRenderedPageBreak/>
        <w:t>Se contempla para la operación de este centro de operaciones: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Un jefe del departamento administrativo con costo anual de $ 179, 372.16; Ciento sesenta y nueve mil trescientos setenta y dos pesos 16/100 M. N.; que desarrollará las funciones administrativas, coordinará los trabajos de capacitación, área médica y de cuadrillas de rescate, y proveerá del apoyo administrativo en la compra y resguardo de materiales, insumos, vehículos, consumibles y los artículos necesarios para desarrollar cada una de las metas de los rubros pertinentes al Programa de Seguridad dentro del Centro de Seguridad y Capacitación Minera.</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Un auxiliar administrativo de un costo anual de $ 96, 300.00; Noventa y seis mil trescientos pesos 00/100 M. N., que proveerá de auxilio en las labores administrativas de control, captura, optimización, desarrollo de actividades de procuración, resguardo y prevención para con los materiales, equipos, mobiliario, vehículos, consumibles y demás artículos propios y necesarios en el desempeño de las actividades del Centro de Seguridad y Capacitación Minera.</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Dos intendentes que suman un costo anual total de $ 136, 080.00; Ciento treinta y seis mil ochenta pesos 00/100 M. N.; que se encargaran de mantener en condiciones óptimas de higiene y limpieza las instalaciones internas y externas, así como las áreas verdes y de almacén del propio Centro de Seguridad y Capacitación Minera.</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De manera general, al personal administrativo y de intendencia, como a los auxiliares del área médica y de Capacitación, se les otorga la prestación denominada Programa de Fomento al Ahorro, el cual contempla un costo anual de $ 66, 435.22 (Sesenta y seis mil cuatrocientos treinta y cinco pesos 22/100 M;. N.)</w:t>
      </w: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 xml:space="preserve"> </w:t>
      </w: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lastRenderedPageBreak/>
        <w:t>A su vez, recibirán una de prima vacacional con un costo anual total de $ 20, 299.63 (Veinte mil doscientos noventa y nueve pesos 63/100 M. N. y la gratificación de fin de año, denominada aguinaldo que asciende a un total de $ 73, 816.91, Setenta y tres mil ochocientos dieciséis pesos 91/100 M. N. Estos dos últimos casos tomando el estimado para los miembros del personal, comprendiendo los dos intendentes, los tres auxiliares administrativos y el jefe del departamento administrativo del propio Centro de Seguridad y Capacitación Minera.</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C00000"/>
          <w:sz w:val="26"/>
          <w:szCs w:val="26"/>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 la operación del Centro de Seguridad y Capacitación Minera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Administrativa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2000 (Materiales y Suministros)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Dentro de este capítulo para el desarrollo de las actividades administrativas, se concentra el gasto del área de capacitación, área médica y área de Rescate, con el fin de llevar un control más detallado y específico de las partidas presentadas: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En lo que respecta a combustibles, se hace necesario el traslado de los instructores a donde se encuentra el aula móvil para impartir los cursos de capacitación así como también en los casos en los que se otorga esta instrucción de seguridad en los terrenos de alguna empresa minera. A esto se suma también el gasto del combustible de los diferentes vehículos propios de las maniobras de las cuadrillas de rescate, como ambulancia, grúa, plantas de energía, generadores, vehículos de transporte. Para contar con un costo anual de $ 150, 000.00 (Ciento cincuenta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El apartado concerniente a la papelería también se ha concentrado todo el consumo del centro de Seguridad y Capacitación Minera, con el mismo propósito de control presupuestal, el cual se proyecta en un costo anual de $ 40, 000.00 (Cuarenta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De la misma manera se optó por llevar el mismo método a los insumos y materiales de limpieza, los que representa un costo anual de $ 15, 000.00 (Quince mil pesos).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Para el desarrollo de las actividades de conservación del propio edificio y sus espacios verdes, de estacionamientos y de transito común, así como también el de instrumentos, herramientas perecederas y de consumo básico para las cuadrillas de Rescate se destina un monto total anual de $ 10, 000.00 (Diez mil pesos) etiquetados en el renglón de Herramientas menores.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Se prevé para dar un sentido de identidad e identificación propia al personal del Centro de Seguridad y Capacitación Minera, un gasto anual total de $ 40, 000.00, Cuarenta mil pesos 00/100 M. N., en lo que respecta a uniformes.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lastRenderedPageBreak/>
        <w:t>Finalmente en este rubro se considera un gasto de $ 5, 000.00 (cinco mil pesos anuales) en lo que respecta a refacciones y accesorios menores del edificio del Centro de Rescate y Capacitación Minera.</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6"/>
          <w:szCs w:val="26"/>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 la operación del Centro de Seguridad y Capacitación Minera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Administrativa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Dentro del Capítulo 3000 (Servicios)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Dentro de este capítulo del presupuesto presentado al comité de Seguridad, se describen los gastos totales y concentrados de las tres diferentes áreas operativas y de servicios con las que cuenta el Centro de Seguridad y Capacitación Minera.</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 xml:space="preserve">Los gastos por servicios básicos se dividen de la manera siguiente: energía eléctrica, costo anual $ 80, 000.00 (Ochenta mil pesos 00/100 M. N.); Servicio de agua, costo anual $ 25, 000.00 </w:t>
      </w:r>
      <w:r>
        <w:rPr>
          <w:rFonts w:ascii="Arial Narrow" w:hAnsi="Arial Narrow"/>
          <w:color w:val="262626" w:themeColor="text1" w:themeTint="D9"/>
          <w:sz w:val="24"/>
          <w:szCs w:val="24"/>
          <w:lang w:val="es-ES"/>
        </w:rPr>
        <w:lastRenderedPageBreak/>
        <w:t>(Veinticinco mil pesos 00/100 M. N.), Servicio de gas doméstico $ 3, 000.00 (Tres mil pesos 00/100 M. N.), Servicio telefónico y de internet $ 19, 200.00 (Diecinueve mil doscientos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Referente a la proveeduría de mantenimiento de transporte y parque vehicular, se contempla un costo anual total de $ 100, 000.00, (Cien mil pesos 00/100 M. N.), de este monto se proveerá el mantenimiento de todos los automotores resguardados por el Centro de Seguridad para el desempeño de las actividades de capacitación, de medicina, de rescate y administrativas.</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Dentro de este rubro de servicios se anexa la necesidad de mantenimientos, correctivos y preventivos del equipo en general de rescate y de labores administrativas por un total anual de $ 100, 000.00; cien mil pesos 00/100 M. N., esto como conservación de equipo, sumando a esto el rubro de Mantenimiento y conservación de maquinaría por un total anual de $ 100, 000.00 (Cien mil pesos 00/100 M. N.), así mismo el mantenimiento del equipo de cómputo utilizado administrativamente y en el desarrollo de las actividades de las tres áreas de acción del centro de seguridad, por un monto anual total de $ 5, 000.00 (Cinco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Se hace necesario la contratación de un servicio de vigilancia que mantenga resguardado y a salvo las instalaciones y lo que en ella se encuentra, este tiene un costo anual total de $ 321, 600.00 (Trescientos veintiún mil seiscientos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En el caso de los servicios de paquetería, fletes y acarreos se totaliza anualmente un monto de $ 10, 000.00 (Diez mil pesos 00/100 M. N.), por lo que respecta a la renta de equipo, mobiliario o instrumentos que en algún momento se requieren para la realización de las actividades del Centro se asignan $ 25, 000.00 (Veinticinco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 xml:space="preserve">Los vehículos propios del CSCM, cuentan con un seguro contra accidentes el cual cuesta anualmente $ 150, 000.00 (Ciento cincuenta mil pesos 00/100 M. N.). Además de pagar lo pertinente </w:t>
      </w:r>
      <w:r>
        <w:rPr>
          <w:rFonts w:ascii="Arial Narrow" w:hAnsi="Arial Narrow"/>
          <w:color w:val="262626" w:themeColor="text1" w:themeTint="D9"/>
          <w:sz w:val="24"/>
          <w:szCs w:val="24"/>
          <w:lang w:val="es-ES"/>
        </w:rPr>
        <w:lastRenderedPageBreak/>
        <w:t>por placas, tenencia y otros impuestos por un total anual de $ 20, 000.00 (Veinte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Las reuniones propias del Comité de Seguridad, así como la impartición de cursos, diplomados y platicas, representa una erogación total anual de $ 30, 000.00 (Treinta mil pesos 00/100 M. N.)</w:t>
      </w:r>
      <w:r w:rsidRPr="00BB26FC">
        <w:rPr>
          <w:rFonts w:ascii="Arial Narrow" w:hAnsi="Arial Narrow"/>
          <w:color w:val="262626" w:themeColor="text1" w:themeTint="D9"/>
          <w:sz w:val="24"/>
          <w:szCs w:val="24"/>
          <w:lang w:val="es-ES"/>
        </w:rPr>
        <w:t xml:space="preserve"> </w:t>
      </w:r>
      <w:r>
        <w:rPr>
          <w:rFonts w:ascii="Arial Narrow" w:hAnsi="Arial Narrow"/>
          <w:color w:val="262626" w:themeColor="text1" w:themeTint="D9"/>
          <w:sz w:val="24"/>
          <w:szCs w:val="24"/>
          <w:lang w:val="es-ES"/>
        </w:rPr>
        <w:t>en el rubro de Congresos y convenciones. A esto se anexa también el rubro de viáticos con un total de $ 30, 000.00 (treinta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Por otro lado, preservando lo existente en torno al tema de la ecología, pensando en adecuar y agrandar y optimizar los espacios verdes que ya se cuentan, además de los que se proyectan implementar se destina al mantenimiento del jardín un monto anual total de $ 25, 000.00 (Veinticinco mil pesos 00/100 M. N.).</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r>
        <w:rPr>
          <w:rFonts w:ascii="Arial Narrow" w:hAnsi="Arial Narrow"/>
          <w:color w:val="262626" w:themeColor="text1" w:themeTint="D9"/>
          <w:sz w:val="24"/>
          <w:szCs w:val="24"/>
          <w:lang w:val="es-ES"/>
        </w:rPr>
        <w:t xml:space="preserve">Finalmente debido a la ubicación de las instalaciones del CSCM, se vuelve imposible que el servicio de recolección de basura municipal sea quien recolecte los desechos generados por las actividades diarias del Centro de Seguridad, se ha optado por destinar anualmente un total de $ 19, 200.00 (Diecinueve mil doscientos pesos 00/100 M. N.) para el proveedor de la recolección de basura. </w:t>
      </w: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Default="0028250A" w:rsidP="0028250A">
      <w:pPr>
        <w:spacing w:line="360" w:lineRule="auto"/>
        <w:jc w:val="both"/>
        <w:rPr>
          <w:rFonts w:ascii="Arial Narrow" w:hAnsi="Arial Narrow"/>
          <w:color w:val="262626" w:themeColor="text1" w:themeTint="D9"/>
          <w:sz w:val="24"/>
          <w:szCs w:val="24"/>
          <w:lang w:val="es-ES"/>
        </w:rPr>
      </w:pPr>
    </w:p>
    <w:p w:rsidR="0028250A" w:rsidRPr="00461F48"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461F48">
        <w:rPr>
          <w:rFonts w:ascii="Arial Narrow" w:hAnsi="Arial Narrow"/>
          <w:color w:val="0F243E" w:themeColor="text2" w:themeShade="80"/>
          <w:sz w:val="28"/>
          <w:szCs w:val="28"/>
          <w:lang w:val="es-ES"/>
        </w:rPr>
        <w:t>Para establecer el método Actuación y de consecución de Metas.</w:t>
      </w: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Capacitación en Seguridad.</w:t>
      </w: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una bitácora diaria de las entradas y salidas de cada uno de los instructores, esto aunado a que por cada curso impartido cada instructor entrega un listado de los asistentes, este es verificado por el Coordinador de Capacitación y firmado de revisado y verificado, al cual se le suma la firma del Jefe de departamento administrativo del Centro de Seguridad y Capacitación Minera.</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Son entregados junto estos reportes el concentrado de horas impartidas y de asistencia de cada uno de los días de cada uno de los cursos de cada grupo atendido.</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lastRenderedPageBreak/>
        <w:t>Así mismo, se coteja y revisan los datos del formulario personal de cada uno de los trabajadores instruidos, con el fin de elaborar cada una de las constancias DC3 de la STPS, por cada uno de los cursos en los que se participó, que a su vez dicha información se traslada al sistema de credencialización. De todo lo cual se tiene la constancia en el archivo físico del CSCM.</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lleva una relación mensual de cada uno de estos reportes.</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 xml:space="preserve">Respecto al inciso </w:t>
      </w:r>
      <w:r>
        <w:rPr>
          <w:rFonts w:ascii="Arial Narrow" w:hAnsi="Arial Narrow"/>
          <w:color w:val="0F243E" w:themeColor="text2" w:themeShade="80"/>
          <w:sz w:val="28"/>
          <w:szCs w:val="28"/>
          <w:u w:val="single"/>
          <w:lang w:val="es-ES"/>
        </w:rPr>
        <w:t>B</w:t>
      </w:r>
      <w:r w:rsidRPr="0088143A">
        <w:rPr>
          <w:rFonts w:ascii="Arial Narrow" w:hAnsi="Arial Narrow"/>
          <w:color w:val="0F243E" w:themeColor="text2" w:themeShade="80"/>
          <w:sz w:val="28"/>
          <w:szCs w:val="28"/>
          <w:u w:val="single"/>
          <w:lang w:val="es-ES"/>
        </w:rPr>
        <w:t>).</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 xml:space="preserve">En el Área de </w:t>
      </w:r>
      <w:r>
        <w:rPr>
          <w:rFonts w:ascii="Arial Narrow" w:hAnsi="Arial Narrow"/>
          <w:color w:val="0F243E" w:themeColor="text2" w:themeShade="80"/>
          <w:sz w:val="28"/>
          <w:szCs w:val="28"/>
          <w:lang w:val="es-ES"/>
        </w:rPr>
        <w:t>Servicio Médico</w:t>
      </w:r>
      <w:r w:rsidRPr="0088143A">
        <w:rPr>
          <w:rFonts w:ascii="Arial Narrow" w:hAnsi="Arial Narrow"/>
          <w:color w:val="0F243E" w:themeColor="text2" w:themeShade="80"/>
          <w:sz w:val="28"/>
          <w:szCs w:val="28"/>
          <w:lang w:val="es-ES"/>
        </w:rPr>
        <w:t>.</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Para lograr un control específico de los pacientes atendidos se cuenta con una base de datos en la cual se concentran todos los datos personales del trabajador como también los resultados de los análisis que se le han practicado. </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Esta base de datos también arroja los resultados históricos de las pruebas que se les han realizado y permite comparar el deterioro o el nivel de afectación en el que se encuentra el paciente.</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a su vez un reporte mensual de las consultas diarias que se practican dentro del servicio médico, con un desglose detallado del personal como de las empresas a las que pertenecen los pacientes.</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 </w:t>
      </w: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 xml:space="preserve">Respecto al inciso </w:t>
      </w:r>
      <w:r>
        <w:rPr>
          <w:rFonts w:ascii="Arial Narrow" w:hAnsi="Arial Narrow"/>
          <w:color w:val="0F243E" w:themeColor="text2" w:themeShade="80"/>
          <w:sz w:val="28"/>
          <w:szCs w:val="28"/>
          <w:u w:val="single"/>
          <w:lang w:val="es-ES"/>
        </w:rPr>
        <w:t>C</w:t>
      </w:r>
      <w:r w:rsidRPr="0088143A">
        <w:rPr>
          <w:rFonts w:ascii="Arial Narrow" w:hAnsi="Arial Narrow"/>
          <w:color w:val="0F243E" w:themeColor="text2" w:themeShade="80"/>
          <w:sz w:val="28"/>
          <w:szCs w:val="28"/>
          <w:u w:val="single"/>
          <w:lang w:val="es-ES"/>
        </w:rPr>
        <w:t>).</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Cuadrillas de Rescate Minero.</w:t>
      </w: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un listado de asistencia cada uno de los viernes en los que asisten los miembros de la cuadrilla a instrucción y prácticas. Así mismo se lleva un registro detallado de las visitas de campo que se realizan a distintas empresas y de la atención de accidentes, desastres o siniestros a los cuales se ha acudido.</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En todos los casos, los resultados, concesión de metas y logro de objetivos se verán reflejados en la evaluación de resultado del desempeño, en el cual se reflejan claramente de manera mensual, trimestral y anual, los avances y totales alcanzados.</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Así se detalla en lo que respecta al servicio médico, al área de capacitación y de rescate minero un desglose mensual de trabajadores atendidos y un total pormenorizado de atención comparándola con el año anterior en el mismo lapso temporal. Obteniendo al final un porcentaje de atención y </w:t>
      </w:r>
      <w:r>
        <w:rPr>
          <w:rFonts w:ascii="Arial Narrow" w:hAnsi="Arial Narrow"/>
          <w:color w:val="0F243E" w:themeColor="text2" w:themeShade="80"/>
          <w:sz w:val="24"/>
          <w:szCs w:val="24"/>
          <w:lang w:val="es-ES"/>
        </w:rPr>
        <w:lastRenderedPageBreak/>
        <w:t>diferenciación respecto al periodo anterior, esto resultara en dar el grado de crecimiento y eficacia de cada uno de los rubros trabajados.</w:t>
      </w:r>
    </w:p>
    <w:p w:rsidR="0028250A" w:rsidRPr="0088143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b/>
          <w:color w:val="0F243E" w:themeColor="text2" w:themeShade="80"/>
          <w:sz w:val="28"/>
          <w:szCs w:val="28"/>
          <w:lang w:val="es-ES"/>
        </w:rPr>
      </w:pPr>
    </w:p>
    <w:p w:rsidR="0028250A" w:rsidRDefault="0028250A" w:rsidP="0028250A">
      <w:pPr>
        <w:spacing w:after="0" w:line="360" w:lineRule="auto"/>
        <w:ind w:left="284" w:hanging="284"/>
        <w:jc w:val="right"/>
        <w:rPr>
          <w:rFonts w:ascii="Arial Narrow" w:hAnsi="Arial Narrow"/>
          <w:b/>
          <w:color w:val="0F243E" w:themeColor="text2" w:themeShade="80"/>
          <w:sz w:val="28"/>
          <w:szCs w:val="28"/>
          <w:lang w:val="es-ES"/>
        </w:rPr>
      </w:pPr>
    </w:p>
    <w:p w:rsidR="0028250A" w:rsidRDefault="0028250A" w:rsidP="0028250A">
      <w:pPr>
        <w:spacing w:after="0" w:line="360" w:lineRule="auto"/>
        <w:ind w:left="284" w:hanging="284"/>
        <w:jc w:val="right"/>
        <w:rPr>
          <w:rFonts w:ascii="Arial Narrow" w:hAnsi="Arial Narrow"/>
          <w:b/>
          <w:color w:val="0F243E" w:themeColor="text2" w:themeShade="80"/>
          <w:sz w:val="28"/>
          <w:szCs w:val="28"/>
          <w:lang w:val="es-ES"/>
        </w:rPr>
      </w:pPr>
    </w:p>
    <w:p w:rsidR="0028250A" w:rsidRDefault="0028250A" w:rsidP="0028250A">
      <w:pPr>
        <w:spacing w:after="0" w:line="360" w:lineRule="auto"/>
        <w:ind w:left="284" w:hanging="284"/>
        <w:jc w:val="right"/>
        <w:rPr>
          <w:rFonts w:ascii="Arial Narrow" w:hAnsi="Arial Narrow"/>
          <w:b/>
          <w:color w:val="0F243E" w:themeColor="text2" w:themeShade="80"/>
          <w:sz w:val="28"/>
          <w:szCs w:val="28"/>
          <w:lang w:val="es-ES"/>
        </w:rPr>
      </w:pPr>
    </w:p>
    <w:p w:rsidR="0028250A" w:rsidRDefault="0028250A" w:rsidP="0028250A">
      <w:pPr>
        <w:spacing w:after="0" w:line="360" w:lineRule="auto"/>
        <w:ind w:left="284" w:hanging="284"/>
        <w:jc w:val="right"/>
        <w:rPr>
          <w:rFonts w:ascii="Arial Narrow" w:hAnsi="Arial Narrow"/>
          <w:b/>
          <w:color w:val="0F243E" w:themeColor="text2" w:themeShade="80"/>
          <w:sz w:val="28"/>
          <w:szCs w:val="28"/>
          <w:lang w:val="es-ES"/>
        </w:rPr>
      </w:pPr>
    </w:p>
    <w:p w:rsidR="0028250A" w:rsidRDefault="0028250A" w:rsidP="0028250A">
      <w:pPr>
        <w:spacing w:after="0" w:line="360" w:lineRule="auto"/>
        <w:ind w:left="284" w:hanging="284"/>
        <w:jc w:val="right"/>
        <w:rPr>
          <w:rFonts w:ascii="Arial Narrow" w:hAnsi="Arial Narrow"/>
          <w:b/>
          <w:color w:val="0F243E" w:themeColor="text2" w:themeShade="80"/>
          <w:sz w:val="28"/>
          <w:szCs w:val="28"/>
          <w:lang w:val="es-ES"/>
        </w:rPr>
      </w:pPr>
    </w:p>
    <w:p w:rsidR="0028250A" w:rsidRPr="0088143A" w:rsidRDefault="0028250A" w:rsidP="0028250A">
      <w:pPr>
        <w:spacing w:after="0" w:line="360" w:lineRule="auto"/>
        <w:ind w:left="284" w:hanging="284"/>
        <w:jc w:val="right"/>
        <w:rPr>
          <w:rFonts w:ascii="Arial Narrow" w:hAnsi="Arial Narrow"/>
          <w:b/>
          <w:color w:val="0F243E" w:themeColor="text2" w:themeShade="80"/>
          <w:sz w:val="28"/>
          <w:szCs w:val="28"/>
          <w:lang w:val="es-ES"/>
        </w:rPr>
      </w:pPr>
      <w:r w:rsidRPr="0088143A">
        <w:rPr>
          <w:rFonts w:ascii="Arial Narrow" w:hAnsi="Arial Narrow"/>
          <w:b/>
          <w:color w:val="0F243E" w:themeColor="text2" w:themeShade="80"/>
          <w:sz w:val="28"/>
          <w:szCs w:val="28"/>
          <w:lang w:val="es-ES"/>
        </w:rPr>
        <w:t>Para establecer el método Actuación y de consecución de Metas.</w:t>
      </w:r>
    </w:p>
    <w:p w:rsidR="0028250A" w:rsidRDefault="0028250A" w:rsidP="0028250A">
      <w:pPr>
        <w:spacing w:after="0" w:line="360" w:lineRule="auto"/>
        <w:ind w:left="284" w:hanging="284"/>
        <w:jc w:val="right"/>
        <w:rPr>
          <w:rFonts w:ascii="Arial Narrow" w:hAnsi="Arial Narrow"/>
          <w:color w:val="0F243E" w:themeColor="text2" w:themeShade="80"/>
          <w:sz w:val="24"/>
          <w:szCs w:val="24"/>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Respecto al inciso A).</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Capacitación en Seguridad.</w:t>
      </w: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una bitácora diaria de las entradas y salidas de cada uno de los instructores, esto aunado a que por cada curso impartido cada instructor entrega un listado de los asistentes, este es verificado por el Coordinador de Capacitación y firmado de revisado y verificado, al cual se le suma la firma del Jefe de departamento administrativo del Centro de Seguridad y Capacitación Minera.</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Son entregados junto estos reportes el concentrado de horas impartidas y de asistencia de cada uno de los días de cada uno de los cursos de cada grupo atendido.</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Así mismo, se coteja y revisan los datos del formulario personal de cada uno de los trabajadores instruidos, con el fin de elaborar cada una de las constancias DC3 de la STPS, por cada uno de los cursos en los que se participó, que a su vez dicha información se traslada al sistema de credencialización. De todo lo cual se tiene la constancia en el archivo físico del CSCM.</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lleva una relación mensual de cada uno de estos reportes.</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 xml:space="preserve">Respecto al inciso </w:t>
      </w:r>
      <w:r>
        <w:rPr>
          <w:rFonts w:ascii="Arial Narrow" w:hAnsi="Arial Narrow"/>
          <w:color w:val="0F243E" w:themeColor="text2" w:themeShade="80"/>
          <w:sz w:val="28"/>
          <w:szCs w:val="28"/>
          <w:u w:val="single"/>
          <w:lang w:val="es-ES"/>
        </w:rPr>
        <w:t>B</w:t>
      </w:r>
      <w:r w:rsidRPr="0088143A">
        <w:rPr>
          <w:rFonts w:ascii="Arial Narrow" w:hAnsi="Arial Narrow"/>
          <w:color w:val="0F243E" w:themeColor="text2" w:themeShade="80"/>
          <w:sz w:val="28"/>
          <w:szCs w:val="28"/>
          <w:u w:val="single"/>
          <w:lang w:val="es-ES"/>
        </w:rPr>
        <w:t>).</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 xml:space="preserve">En el Área de </w:t>
      </w:r>
      <w:r>
        <w:rPr>
          <w:rFonts w:ascii="Arial Narrow" w:hAnsi="Arial Narrow"/>
          <w:color w:val="0F243E" w:themeColor="text2" w:themeShade="80"/>
          <w:sz w:val="28"/>
          <w:szCs w:val="28"/>
          <w:lang w:val="es-ES"/>
        </w:rPr>
        <w:t>Servicio Médico</w:t>
      </w:r>
      <w:r w:rsidRPr="0088143A">
        <w:rPr>
          <w:rFonts w:ascii="Arial Narrow" w:hAnsi="Arial Narrow"/>
          <w:color w:val="0F243E" w:themeColor="text2" w:themeShade="80"/>
          <w:sz w:val="28"/>
          <w:szCs w:val="28"/>
          <w:lang w:val="es-ES"/>
        </w:rPr>
        <w:t>.</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Para lograr un control específico de los pacientes atendidos se cuenta con una base de datos en la cual se concentran todos los datos personales del trabajador como también los resultados de los análisis que se le han practicado. </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Esta base de datos también arroja los resultados históricos de las pruebas que se les han realizado y permite comparar el deterioro o el nivel de afectación en el que se encuentra el paciente.</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a su vez un reporte mensual de las consultas diarias que se practican dentro del servicio médico, con un desglose detallado del personal como de las empresas a las que pertenecen los pacientes.</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 xml:space="preserve"> </w:t>
      </w: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u w:val="single"/>
          <w:lang w:val="es-ES"/>
        </w:rPr>
      </w:pPr>
      <w:r w:rsidRPr="0088143A">
        <w:rPr>
          <w:rFonts w:ascii="Arial Narrow" w:hAnsi="Arial Narrow"/>
          <w:color w:val="0F243E" w:themeColor="text2" w:themeShade="80"/>
          <w:sz w:val="28"/>
          <w:szCs w:val="28"/>
          <w:u w:val="single"/>
          <w:lang w:val="es-ES"/>
        </w:rPr>
        <w:t xml:space="preserve">Respecto al inciso </w:t>
      </w:r>
      <w:r>
        <w:rPr>
          <w:rFonts w:ascii="Arial Narrow" w:hAnsi="Arial Narrow"/>
          <w:color w:val="0F243E" w:themeColor="text2" w:themeShade="80"/>
          <w:sz w:val="28"/>
          <w:szCs w:val="28"/>
          <w:u w:val="single"/>
          <w:lang w:val="es-ES"/>
        </w:rPr>
        <w:t>C</w:t>
      </w:r>
      <w:r w:rsidRPr="0088143A">
        <w:rPr>
          <w:rFonts w:ascii="Arial Narrow" w:hAnsi="Arial Narrow"/>
          <w:color w:val="0F243E" w:themeColor="text2" w:themeShade="80"/>
          <w:sz w:val="28"/>
          <w:szCs w:val="28"/>
          <w:u w:val="single"/>
          <w:lang w:val="es-ES"/>
        </w:rPr>
        <w:t>).</w:t>
      </w:r>
    </w:p>
    <w:p w:rsidR="0028250A" w:rsidRPr="0088143A" w:rsidRDefault="0028250A" w:rsidP="0028250A">
      <w:pPr>
        <w:spacing w:after="0" w:line="360" w:lineRule="auto"/>
        <w:ind w:left="284" w:hanging="284"/>
        <w:jc w:val="right"/>
        <w:rPr>
          <w:rFonts w:ascii="Arial Narrow" w:hAnsi="Arial Narrow"/>
          <w:color w:val="0F243E" w:themeColor="text2" w:themeShade="80"/>
          <w:sz w:val="28"/>
          <w:szCs w:val="28"/>
          <w:lang w:val="es-ES"/>
        </w:rPr>
      </w:pPr>
      <w:r w:rsidRPr="0088143A">
        <w:rPr>
          <w:rFonts w:ascii="Arial Narrow" w:hAnsi="Arial Narrow"/>
          <w:color w:val="0F243E" w:themeColor="text2" w:themeShade="80"/>
          <w:sz w:val="28"/>
          <w:szCs w:val="28"/>
          <w:lang w:val="es-ES"/>
        </w:rPr>
        <w:t>En el Área de Cuadrillas de Rescate Minero.</w:t>
      </w: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ind w:left="284" w:hanging="284"/>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r>
        <w:rPr>
          <w:rFonts w:ascii="Arial Narrow" w:hAnsi="Arial Narrow"/>
          <w:color w:val="0F243E" w:themeColor="text2" w:themeShade="80"/>
          <w:sz w:val="24"/>
          <w:szCs w:val="24"/>
          <w:lang w:val="es-ES"/>
        </w:rPr>
        <w:t>Se realiza un listado de asistencia cada uno de los viernes en los que asisten los miembros de la cuadrilla a instrucción y prácticas. Así mismo se lleva un registro detallado e las visitas de campo que se realizan a distintas empresas y de la atención de accidentes, desastres o siniestros a los cuales se ha acudido.</w:t>
      </w: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28250A" w:rsidRDefault="0028250A" w:rsidP="0028250A">
      <w:pPr>
        <w:spacing w:after="0" w:line="360" w:lineRule="auto"/>
        <w:jc w:val="both"/>
        <w:rPr>
          <w:rFonts w:ascii="Arial Narrow" w:hAnsi="Arial Narrow"/>
          <w:color w:val="0F243E" w:themeColor="text2" w:themeShade="80"/>
          <w:sz w:val="24"/>
          <w:szCs w:val="24"/>
          <w:lang w:val="es-ES"/>
        </w:rPr>
      </w:pPr>
    </w:p>
    <w:p w:rsidR="0096258C" w:rsidRDefault="0096258C"/>
    <w:p w:rsidR="0096258C" w:rsidRDefault="0096258C"/>
    <w:p w:rsidR="0096258C" w:rsidRDefault="0096258C"/>
    <w:p w:rsidR="0096258C" w:rsidRDefault="0096258C"/>
    <w:p w:rsidR="0096258C" w:rsidRDefault="0096258C"/>
    <w:p w:rsidR="0096258C" w:rsidRDefault="0096258C"/>
    <w:p w:rsidR="0096258C" w:rsidRDefault="0096258C"/>
    <w:p w:rsidR="0096258C" w:rsidRDefault="0096258C" w:rsidP="0096258C">
      <w:pPr>
        <w:pStyle w:val="ROMANOS"/>
        <w:spacing w:after="80" w:line="203" w:lineRule="exact"/>
        <w:ind w:left="288" w:firstLine="0"/>
        <w:rPr>
          <w:sz w:val="22"/>
          <w:szCs w:val="22"/>
          <w:lang w:val="es-MX"/>
        </w:rPr>
      </w:pPr>
    </w:p>
    <w:p w:rsidR="0096258C" w:rsidRDefault="0096258C" w:rsidP="0096258C">
      <w:pPr>
        <w:pStyle w:val="ROMANOS"/>
        <w:spacing w:after="80" w:line="203" w:lineRule="exact"/>
        <w:ind w:left="288" w:firstLine="0"/>
        <w:rPr>
          <w:sz w:val="22"/>
          <w:szCs w:val="22"/>
          <w:lang w:val="es-MX"/>
        </w:rPr>
      </w:pPr>
    </w:p>
    <w:p w:rsidR="0096258C" w:rsidRPr="004F4558" w:rsidRDefault="0096258C" w:rsidP="0096258C">
      <w:pPr>
        <w:pStyle w:val="ROMANOS"/>
        <w:spacing w:after="80" w:line="203" w:lineRule="exact"/>
        <w:ind w:left="288" w:firstLine="0"/>
        <w:rPr>
          <w:sz w:val="22"/>
          <w:szCs w:val="22"/>
          <w:lang w:val="es-MX"/>
        </w:rPr>
      </w:pPr>
    </w:p>
    <w:p w:rsidR="0096258C" w:rsidRDefault="0096258C" w:rsidP="0096258C">
      <w:pPr>
        <w:spacing w:after="0"/>
        <w:rPr>
          <w:rFonts w:ascii="Arial" w:hAnsi="Arial" w:cs="Arial"/>
          <w:b/>
          <w:sz w:val="40"/>
        </w:rPr>
      </w:pPr>
    </w:p>
    <w:p w:rsidR="0096258C" w:rsidRDefault="0096258C"/>
    <w:sectPr w:rsidR="0096258C" w:rsidSect="00042DF5">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97E" w:rsidRDefault="00A9397E" w:rsidP="0096258C">
      <w:pPr>
        <w:spacing w:after="0" w:line="240" w:lineRule="auto"/>
      </w:pPr>
      <w:r>
        <w:separator/>
      </w:r>
    </w:p>
  </w:endnote>
  <w:endnote w:type="continuationSeparator" w:id="0">
    <w:p w:rsidR="00A9397E" w:rsidRDefault="00A9397E" w:rsidP="009625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97E" w:rsidRDefault="00A9397E" w:rsidP="0096258C">
      <w:pPr>
        <w:spacing w:after="0" w:line="240" w:lineRule="auto"/>
      </w:pPr>
      <w:r>
        <w:separator/>
      </w:r>
    </w:p>
  </w:footnote>
  <w:footnote w:type="continuationSeparator" w:id="0">
    <w:p w:rsidR="00A9397E" w:rsidRDefault="00A9397E" w:rsidP="009625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11757"/>
    <w:multiLevelType w:val="hybridMultilevel"/>
    <w:tmpl w:val="152206A8"/>
    <w:lvl w:ilvl="0" w:tplc="B388F09E">
      <w:start w:val="1"/>
      <w:numFmt w:val="bullet"/>
      <w:lvlText w:val="•"/>
      <w:lvlJc w:val="left"/>
      <w:pPr>
        <w:tabs>
          <w:tab w:val="num" w:pos="720"/>
        </w:tabs>
        <w:ind w:left="720" w:hanging="360"/>
      </w:pPr>
      <w:rPr>
        <w:rFonts w:ascii="Arial" w:hAnsi="Arial" w:hint="default"/>
      </w:rPr>
    </w:lvl>
    <w:lvl w:ilvl="1" w:tplc="882C60A4">
      <w:start w:val="1"/>
      <w:numFmt w:val="bullet"/>
      <w:lvlText w:val="•"/>
      <w:lvlJc w:val="left"/>
      <w:pPr>
        <w:tabs>
          <w:tab w:val="num" w:pos="1440"/>
        </w:tabs>
        <w:ind w:left="1440" w:hanging="360"/>
      </w:pPr>
      <w:rPr>
        <w:rFonts w:ascii="Arial" w:hAnsi="Arial" w:hint="default"/>
      </w:rPr>
    </w:lvl>
    <w:lvl w:ilvl="2" w:tplc="C7BAE258" w:tentative="1">
      <w:start w:val="1"/>
      <w:numFmt w:val="bullet"/>
      <w:lvlText w:val="•"/>
      <w:lvlJc w:val="left"/>
      <w:pPr>
        <w:tabs>
          <w:tab w:val="num" w:pos="2160"/>
        </w:tabs>
        <w:ind w:left="2160" w:hanging="360"/>
      </w:pPr>
      <w:rPr>
        <w:rFonts w:ascii="Arial" w:hAnsi="Arial" w:hint="default"/>
      </w:rPr>
    </w:lvl>
    <w:lvl w:ilvl="3" w:tplc="EAEAA07C" w:tentative="1">
      <w:start w:val="1"/>
      <w:numFmt w:val="bullet"/>
      <w:lvlText w:val="•"/>
      <w:lvlJc w:val="left"/>
      <w:pPr>
        <w:tabs>
          <w:tab w:val="num" w:pos="2880"/>
        </w:tabs>
        <w:ind w:left="2880" w:hanging="360"/>
      </w:pPr>
      <w:rPr>
        <w:rFonts w:ascii="Arial" w:hAnsi="Arial" w:hint="default"/>
      </w:rPr>
    </w:lvl>
    <w:lvl w:ilvl="4" w:tplc="62E43F0A" w:tentative="1">
      <w:start w:val="1"/>
      <w:numFmt w:val="bullet"/>
      <w:lvlText w:val="•"/>
      <w:lvlJc w:val="left"/>
      <w:pPr>
        <w:tabs>
          <w:tab w:val="num" w:pos="3600"/>
        </w:tabs>
        <w:ind w:left="3600" w:hanging="360"/>
      </w:pPr>
      <w:rPr>
        <w:rFonts w:ascii="Arial" w:hAnsi="Arial" w:hint="default"/>
      </w:rPr>
    </w:lvl>
    <w:lvl w:ilvl="5" w:tplc="D24C6754" w:tentative="1">
      <w:start w:val="1"/>
      <w:numFmt w:val="bullet"/>
      <w:lvlText w:val="•"/>
      <w:lvlJc w:val="left"/>
      <w:pPr>
        <w:tabs>
          <w:tab w:val="num" w:pos="4320"/>
        </w:tabs>
        <w:ind w:left="4320" w:hanging="360"/>
      </w:pPr>
      <w:rPr>
        <w:rFonts w:ascii="Arial" w:hAnsi="Arial" w:hint="default"/>
      </w:rPr>
    </w:lvl>
    <w:lvl w:ilvl="6" w:tplc="98EE61E0" w:tentative="1">
      <w:start w:val="1"/>
      <w:numFmt w:val="bullet"/>
      <w:lvlText w:val="•"/>
      <w:lvlJc w:val="left"/>
      <w:pPr>
        <w:tabs>
          <w:tab w:val="num" w:pos="5040"/>
        </w:tabs>
        <w:ind w:left="5040" w:hanging="360"/>
      </w:pPr>
      <w:rPr>
        <w:rFonts w:ascii="Arial" w:hAnsi="Arial" w:hint="default"/>
      </w:rPr>
    </w:lvl>
    <w:lvl w:ilvl="7" w:tplc="283A7E04" w:tentative="1">
      <w:start w:val="1"/>
      <w:numFmt w:val="bullet"/>
      <w:lvlText w:val="•"/>
      <w:lvlJc w:val="left"/>
      <w:pPr>
        <w:tabs>
          <w:tab w:val="num" w:pos="5760"/>
        </w:tabs>
        <w:ind w:left="5760" w:hanging="360"/>
      </w:pPr>
      <w:rPr>
        <w:rFonts w:ascii="Arial" w:hAnsi="Arial" w:hint="default"/>
      </w:rPr>
    </w:lvl>
    <w:lvl w:ilvl="8" w:tplc="FEFA7744" w:tentative="1">
      <w:start w:val="1"/>
      <w:numFmt w:val="bullet"/>
      <w:lvlText w:val="•"/>
      <w:lvlJc w:val="left"/>
      <w:pPr>
        <w:tabs>
          <w:tab w:val="num" w:pos="6480"/>
        </w:tabs>
        <w:ind w:left="6480" w:hanging="360"/>
      </w:pPr>
      <w:rPr>
        <w:rFonts w:ascii="Arial" w:hAnsi="Arial" w:hint="default"/>
      </w:rPr>
    </w:lvl>
  </w:abstractNum>
  <w:abstractNum w:abstractNumId="1">
    <w:nsid w:val="5260053A"/>
    <w:multiLevelType w:val="hybridMultilevel"/>
    <w:tmpl w:val="83A263EA"/>
    <w:lvl w:ilvl="0" w:tplc="8FBCA8FA">
      <w:start w:val="1"/>
      <w:numFmt w:val="decimal"/>
      <w:lvlText w:val="%1."/>
      <w:lvlJc w:val="left"/>
      <w:pPr>
        <w:tabs>
          <w:tab w:val="num" w:pos="720"/>
        </w:tabs>
        <w:ind w:left="720" w:hanging="360"/>
      </w:pPr>
    </w:lvl>
    <w:lvl w:ilvl="1" w:tplc="2A929DAC" w:tentative="1">
      <w:start w:val="1"/>
      <w:numFmt w:val="decimal"/>
      <w:lvlText w:val="%2."/>
      <w:lvlJc w:val="left"/>
      <w:pPr>
        <w:tabs>
          <w:tab w:val="num" w:pos="1440"/>
        </w:tabs>
        <w:ind w:left="1440" w:hanging="360"/>
      </w:pPr>
    </w:lvl>
    <w:lvl w:ilvl="2" w:tplc="56BA8BCC" w:tentative="1">
      <w:start w:val="1"/>
      <w:numFmt w:val="decimal"/>
      <w:lvlText w:val="%3."/>
      <w:lvlJc w:val="left"/>
      <w:pPr>
        <w:tabs>
          <w:tab w:val="num" w:pos="2160"/>
        </w:tabs>
        <w:ind w:left="2160" w:hanging="360"/>
      </w:pPr>
    </w:lvl>
    <w:lvl w:ilvl="3" w:tplc="7A103DF8" w:tentative="1">
      <w:start w:val="1"/>
      <w:numFmt w:val="decimal"/>
      <w:lvlText w:val="%4."/>
      <w:lvlJc w:val="left"/>
      <w:pPr>
        <w:tabs>
          <w:tab w:val="num" w:pos="2880"/>
        </w:tabs>
        <w:ind w:left="2880" w:hanging="360"/>
      </w:pPr>
    </w:lvl>
    <w:lvl w:ilvl="4" w:tplc="B4082CEA" w:tentative="1">
      <w:start w:val="1"/>
      <w:numFmt w:val="decimal"/>
      <w:lvlText w:val="%5."/>
      <w:lvlJc w:val="left"/>
      <w:pPr>
        <w:tabs>
          <w:tab w:val="num" w:pos="3600"/>
        </w:tabs>
        <w:ind w:left="3600" w:hanging="360"/>
      </w:pPr>
    </w:lvl>
    <w:lvl w:ilvl="5" w:tplc="823E2DA0" w:tentative="1">
      <w:start w:val="1"/>
      <w:numFmt w:val="decimal"/>
      <w:lvlText w:val="%6."/>
      <w:lvlJc w:val="left"/>
      <w:pPr>
        <w:tabs>
          <w:tab w:val="num" w:pos="4320"/>
        </w:tabs>
        <w:ind w:left="4320" w:hanging="360"/>
      </w:pPr>
    </w:lvl>
    <w:lvl w:ilvl="6" w:tplc="D686835C" w:tentative="1">
      <w:start w:val="1"/>
      <w:numFmt w:val="decimal"/>
      <w:lvlText w:val="%7."/>
      <w:lvlJc w:val="left"/>
      <w:pPr>
        <w:tabs>
          <w:tab w:val="num" w:pos="5040"/>
        </w:tabs>
        <w:ind w:left="5040" w:hanging="360"/>
      </w:pPr>
    </w:lvl>
    <w:lvl w:ilvl="7" w:tplc="FEACB7E2" w:tentative="1">
      <w:start w:val="1"/>
      <w:numFmt w:val="decimal"/>
      <w:lvlText w:val="%8."/>
      <w:lvlJc w:val="left"/>
      <w:pPr>
        <w:tabs>
          <w:tab w:val="num" w:pos="5760"/>
        </w:tabs>
        <w:ind w:left="5760" w:hanging="360"/>
      </w:pPr>
    </w:lvl>
    <w:lvl w:ilvl="8" w:tplc="C7405C2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258C"/>
    <w:rsid w:val="00042DF5"/>
    <w:rsid w:val="0028250A"/>
    <w:rsid w:val="00455F9A"/>
    <w:rsid w:val="00604DC6"/>
    <w:rsid w:val="00723BE8"/>
    <w:rsid w:val="008A3BAF"/>
    <w:rsid w:val="008C76C1"/>
    <w:rsid w:val="0096258C"/>
    <w:rsid w:val="00A9397E"/>
    <w:rsid w:val="00CD2D2D"/>
    <w:rsid w:val="00D35D67"/>
    <w:rsid w:val="00EC43A8"/>
    <w:rsid w:val="00F729D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58C"/>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OMANOS">
    <w:name w:val="ROMANOS"/>
    <w:basedOn w:val="Normal"/>
    <w:link w:val="ROMANOSCar"/>
    <w:rsid w:val="0096258C"/>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96258C"/>
    <w:rPr>
      <w:rFonts w:ascii="Arial" w:eastAsia="Times New Roman" w:hAnsi="Arial" w:cs="Arial"/>
      <w:sz w:val="18"/>
      <w:szCs w:val="18"/>
      <w:lang w:val="es-ES" w:eastAsia="es-ES"/>
    </w:rPr>
  </w:style>
  <w:style w:type="character" w:styleId="Refdenotaalpie">
    <w:name w:val="footnote reference"/>
    <w:uiPriority w:val="99"/>
    <w:rsid w:val="0096258C"/>
    <w:rPr>
      <w:vertAlign w:val="superscript"/>
    </w:rPr>
  </w:style>
  <w:style w:type="paragraph" w:styleId="Textonotapie">
    <w:name w:val="footnote text"/>
    <w:basedOn w:val="Normal"/>
    <w:link w:val="TextonotapieCar"/>
    <w:uiPriority w:val="99"/>
    <w:semiHidden/>
    <w:unhideWhenUsed/>
    <w:rsid w:val="0096258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6258C"/>
    <w:rPr>
      <w:rFonts w:eastAsiaTheme="minorEastAsia"/>
      <w:sz w:val="20"/>
      <w:szCs w:val="20"/>
      <w:lang w:eastAsia="es-MX"/>
    </w:rPr>
  </w:style>
  <w:style w:type="paragraph" w:styleId="NormalWeb">
    <w:name w:val="Normal (Web)"/>
    <w:basedOn w:val="Normal"/>
    <w:uiPriority w:val="99"/>
    <w:semiHidden/>
    <w:unhideWhenUsed/>
    <w:rsid w:val="0028250A"/>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28250A"/>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5780</Words>
  <Characters>31796</Characters>
  <Application>Microsoft Office Word</Application>
  <DocSecurity>0</DocSecurity>
  <Lines>264</Lines>
  <Paragraphs>75</Paragraphs>
  <ScaleCrop>false</ScaleCrop>
  <Company>Microsoft</Company>
  <LinksUpToDate>false</LinksUpToDate>
  <CharactersWithSpaces>37501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Alejandro Aguilera Hernández</dc:creator>
  <cp:lastModifiedBy>MONICA</cp:lastModifiedBy>
  <cp:revision>6</cp:revision>
  <dcterms:created xsi:type="dcterms:W3CDTF">2015-10-07T19:20:00Z</dcterms:created>
  <dcterms:modified xsi:type="dcterms:W3CDTF">2018-10-18T20:59:00Z</dcterms:modified>
</cp:coreProperties>
</file>